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pPr w:leftFromText="180" w:rightFromText="180" w:vertAnchor="text" w:horzAnchor="page" w:tblpXSpec="center" w:tblpY="387"/>
        <w:tblOverlap w:val="never"/>
        <w:tblW w:w="1347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6"/>
        <w:gridCol w:w="2010"/>
        <w:gridCol w:w="8175"/>
        <w:gridCol w:w="25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jc w:val="center"/>
        </w:trPr>
        <w:tc>
          <w:tcPr>
            <w:tcW w:w="13476" w:type="dxa"/>
            <w:gridSpan w:val="4"/>
            <w:tcBorders>
              <w:top w:val="nil"/>
              <w:left w:val="nil"/>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301" w:firstLineChars="100"/>
              <w:jc w:val="both"/>
              <w:textAlignment w:val="auto"/>
              <w:rPr>
                <w:rFonts w:hint="eastAsia" w:ascii="仿宋" w:hAnsi="仿宋" w:eastAsia="仿宋" w:cs="仿宋"/>
                <w:b/>
                <w:bCs/>
                <w:sz w:val="28"/>
                <w:szCs w:val="28"/>
              </w:rPr>
            </w:pPr>
            <w:r>
              <w:rPr>
                <w:rFonts w:hint="eastAsia" w:ascii="仿宋" w:hAnsi="仿宋" w:eastAsia="仿宋" w:cs="仿宋"/>
                <w:b/>
                <w:bCs/>
                <w:sz w:val="30"/>
                <w:szCs w:val="30"/>
                <w:lang w:eastAsia="zh-CN"/>
              </w:rPr>
              <w:t>附件</w:t>
            </w:r>
            <w:r>
              <w:rPr>
                <w:rFonts w:hint="eastAsia" w:ascii="仿宋" w:hAnsi="仿宋" w:eastAsia="仿宋" w:cs="仿宋"/>
                <w:b/>
                <w:bCs/>
                <w:sz w:val="30"/>
                <w:szCs w:val="30"/>
                <w:lang w:val="en-US" w:eastAsia="zh-CN"/>
              </w:rPr>
              <w:t xml:space="preserve">1  </w:t>
            </w:r>
            <w:bookmarkStart w:id="0" w:name="_GoBack"/>
            <w:r>
              <w:rPr>
                <w:rFonts w:hint="eastAsia" w:ascii="仿宋" w:hAnsi="仿宋" w:eastAsia="仿宋" w:cs="仿宋"/>
                <w:b/>
                <w:bCs/>
                <w:sz w:val="30"/>
                <w:szCs w:val="30"/>
                <w:lang w:val="en-US" w:eastAsia="zh-CN"/>
              </w:rPr>
              <w:t>信阳农林学院“十四五”规划前期调研主题</w:t>
            </w:r>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jc w:val="center"/>
        </w:trPr>
        <w:tc>
          <w:tcPr>
            <w:tcW w:w="776"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50" w:lineRule="exact"/>
              <w:jc w:val="center"/>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序号</w:t>
            </w:r>
          </w:p>
        </w:tc>
        <w:tc>
          <w:tcPr>
            <w:tcW w:w="2010"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50" w:lineRule="exact"/>
              <w:jc w:val="center"/>
              <w:textAlignment w:val="auto"/>
              <w:rPr>
                <w:rFonts w:hint="eastAsia" w:ascii="仿宋" w:hAnsi="仿宋" w:eastAsia="仿宋" w:cs="仿宋"/>
                <w:b/>
                <w:bCs/>
                <w:kern w:val="2"/>
                <w:sz w:val="28"/>
                <w:szCs w:val="28"/>
                <w:lang w:val="en-US" w:eastAsia="zh-CN" w:bidi="ar-SA"/>
              </w:rPr>
            </w:pPr>
            <w:r>
              <w:rPr>
                <w:rFonts w:hint="eastAsia" w:ascii="仿宋" w:hAnsi="仿宋" w:eastAsia="仿宋" w:cs="仿宋"/>
                <w:b/>
                <w:bCs/>
                <w:sz w:val="28"/>
                <w:szCs w:val="28"/>
                <w:lang w:eastAsia="zh-CN"/>
              </w:rPr>
              <w:t>调研主题</w:t>
            </w:r>
          </w:p>
        </w:tc>
        <w:tc>
          <w:tcPr>
            <w:tcW w:w="8175"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50" w:lineRule="exact"/>
              <w:ind w:firstLine="984" w:firstLineChars="350"/>
              <w:jc w:val="center"/>
              <w:textAlignment w:val="auto"/>
              <w:rPr>
                <w:rFonts w:hint="eastAsia" w:ascii="仿宋" w:hAnsi="仿宋" w:eastAsia="仿宋" w:cs="仿宋"/>
                <w:b/>
                <w:bCs/>
                <w:sz w:val="28"/>
                <w:szCs w:val="28"/>
              </w:rPr>
            </w:pPr>
            <w:r>
              <w:rPr>
                <w:rFonts w:hint="eastAsia" w:ascii="仿宋" w:hAnsi="仿宋" w:eastAsia="仿宋" w:cs="仿宋"/>
                <w:b/>
                <w:bCs/>
                <w:sz w:val="28"/>
                <w:szCs w:val="28"/>
                <w:lang w:eastAsia="zh-CN"/>
              </w:rPr>
              <w:t>建议调研内容</w:t>
            </w:r>
          </w:p>
        </w:tc>
        <w:tc>
          <w:tcPr>
            <w:tcW w:w="2515"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50" w:lineRule="exact"/>
              <w:ind w:firstLine="281" w:firstLineChars="100"/>
              <w:jc w:val="center"/>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牵头单位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5" w:hRule="atLeast"/>
          <w:jc w:val="center"/>
        </w:trPr>
        <w:tc>
          <w:tcPr>
            <w:tcW w:w="776"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5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w:t>
            </w:r>
          </w:p>
        </w:tc>
        <w:tc>
          <w:tcPr>
            <w:tcW w:w="2010"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50" w:lineRule="exact"/>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b/>
                <w:bCs/>
                <w:sz w:val="28"/>
                <w:szCs w:val="28"/>
              </w:rPr>
              <w:t>战略规划</w:t>
            </w:r>
          </w:p>
        </w:tc>
        <w:tc>
          <w:tcPr>
            <w:tcW w:w="8175" w:type="dxa"/>
            <w:tcBorders>
              <w:bottom w:val="single" w:color="auto" w:sz="4" w:space="0"/>
            </w:tcBorders>
            <w:noWrap w:val="0"/>
            <w:vAlign w:val="center"/>
          </w:tcPr>
          <w:p>
            <w:pPr>
              <w:pStyle w:val="6"/>
              <w:keepNext w:val="0"/>
              <w:keepLines w:val="0"/>
              <w:pageBreakBefore w:val="0"/>
              <w:kinsoku/>
              <w:wordWrap/>
              <w:overflowPunct/>
              <w:topLinePunct w:val="0"/>
              <w:autoSpaceDE/>
              <w:autoSpaceDN/>
              <w:bidi w:val="0"/>
              <w:adjustRightInd/>
              <w:snapToGrid/>
              <w:spacing w:line="450" w:lineRule="exact"/>
              <w:textAlignment w:val="auto"/>
              <w:rPr>
                <w:rFonts w:hint="eastAsia" w:ascii="仿宋" w:hAnsi="仿宋" w:eastAsia="仿宋" w:cs="仿宋"/>
              </w:rPr>
            </w:pPr>
          </w:p>
          <w:p>
            <w:pPr>
              <w:pStyle w:val="6"/>
              <w:keepNext w:val="0"/>
              <w:keepLines w:val="0"/>
              <w:pageBreakBefore w:val="0"/>
              <w:kinsoku/>
              <w:wordWrap/>
              <w:overflowPunct/>
              <w:topLinePunct w:val="0"/>
              <w:autoSpaceDE/>
              <w:autoSpaceDN/>
              <w:bidi w:val="0"/>
              <w:adjustRightInd/>
              <w:snapToGrid/>
              <w:spacing w:line="450" w:lineRule="exact"/>
              <w:textAlignment w:val="auto"/>
              <w:rPr>
                <w:rFonts w:hint="eastAsia" w:ascii="仿宋" w:hAnsi="仿宋" w:eastAsia="仿宋" w:cs="仿宋"/>
              </w:rPr>
            </w:pPr>
          </w:p>
          <w:p>
            <w:pPr>
              <w:pStyle w:val="6"/>
              <w:keepNext w:val="0"/>
              <w:keepLines w:val="0"/>
              <w:pageBreakBefore w:val="0"/>
              <w:kinsoku/>
              <w:wordWrap/>
              <w:overflowPunct/>
              <w:topLinePunct w:val="0"/>
              <w:autoSpaceDE/>
              <w:autoSpaceDN/>
              <w:bidi w:val="0"/>
              <w:adjustRightInd/>
              <w:snapToGrid/>
              <w:spacing w:line="450" w:lineRule="exact"/>
              <w:textAlignment w:val="auto"/>
              <w:rPr>
                <w:rFonts w:hint="eastAsia" w:ascii="仿宋" w:hAnsi="仿宋" w:eastAsia="仿宋" w:cs="仿宋"/>
              </w:rPr>
            </w:pPr>
          </w:p>
          <w:p>
            <w:pPr>
              <w:pStyle w:val="6"/>
              <w:keepNext w:val="0"/>
              <w:keepLines w:val="0"/>
              <w:pageBreakBefore w:val="0"/>
              <w:kinsoku/>
              <w:wordWrap/>
              <w:overflowPunct/>
              <w:topLinePunct w:val="0"/>
              <w:autoSpaceDE/>
              <w:autoSpaceDN/>
              <w:bidi w:val="0"/>
              <w:adjustRightInd/>
              <w:snapToGrid/>
              <w:spacing w:line="450" w:lineRule="exact"/>
              <w:textAlignment w:val="auto"/>
              <w:rPr>
                <w:rFonts w:hint="eastAsia" w:ascii="仿宋" w:hAnsi="仿宋" w:eastAsia="仿宋" w:cs="仿宋"/>
              </w:rPr>
            </w:pPr>
            <w:r>
              <w:rPr>
                <w:rFonts w:hint="eastAsia" w:ascii="仿宋" w:hAnsi="仿宋" w:eastAsia="仿宋" w:cs="仿宋"/>
                <w:lang w:val="en-US" w:eastAsia="zh-CN"/>
              </w:rPr>
              <w:t>1.</w:t>
            </w:r>
            <w:r>
              <w:rPr>
                <w:rFonts w:hint="eastAsia" w:ascii="仿宋" w:hAnsi="仿宋" w:eastAsia="仿宋" w:cs="仿宋"/>
              </w:rPr>
              <w:t>窗体顶端</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50" w:lineRule="exact"/>
              <w:ind w:right="454" w:rightChars="0"/>
              <w:jc w:val="both"/>
              <w:textAlignment w:val="auto"/>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围绕新形势下学校面临的机遇与挑战，从办学定位、办学类型、办学层次、服务面向、发展目标等方面研讨学校“十四五”期间的发展战略。</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50" w:lineRule="exact"/>
              <w:ind w:right="454" w:rightChars="0"/>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b/>
                <w:bCs/>
                <w:kern w:val="2"/>
                <w:sz w:val="28"/>
                <w:szCs w:val="28"/>
                <w:lang w:val="en-US" w:eastAsia="zh-CN" w:bidi="ar-SA"/>
              </w:rPr>
              <w:t>1.发展思路：</w:t>
            </w:r>
            <w:r>
              <w:rPr>
                <w:rFonts w:hint="eastAsia" w:ascii="仿宋" w:hAnsi="仿宋" w:eastAsia="仿宋" w:cs="仿宋"/>
                <w:kern w:val="2"/>
                <w:sz w:val="28"/>
                <w:szCs w:val="28"/>
                <w:lang w:val="en-US" w:eastAsia="zh-CN" w:bidi="ar-SA"/>
              </w:rPr>
              <w:t>明确“十四五”期间重点办好哪几件大事，明确在哪些方面突破、哪些方面提升；</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exact"/>
              <w:ind w:right="454"/>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b/>
                <w:bCs/>
                <w:kern w:val="2"/>
                <w:sz w:val="28"/>
                <w:szCs w:val="28"/>
                <w:lang w:val="en-US" w:eastAsia="zh-CN" w:bidi="ar-SA"/>
              </w:rPr>
              <w:t>2.总体目标与具体目标：</w:t>
            </w:r>
            <w:r>
              <w:rPr>
                <w:rFonts w:hint="eastAsia" w:ascii="仿宋" w:hAnsi="仿宋" w:eastAsia="仿宋" w:cs="仿宋"/>
                <w:kern w:val="2"/>
                <w:sz w:val="28"/>
                <w:szCs w:val="28"/>
                <w:lang w:val="en-US" w:eastAsia="zh-CN" w:bidi="ar-SA"/>
              </w:rPr>
              <w:t>明确“十四五”期间学校发展关键性、重大目标和指标的确定，如本科生办学规模、高层次人才建设目标、学科建设目标、师资队伍建设目标、科技与社会服务等方面；</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exact"/>
              <w:ind w:right="454"/>
              <w:jc w:val="both"/>
              <w:textAlignment w:val="auto"/>
              <w:rPr>
                <w:rFonts w:hint="eastAsia" w:ascii="仿宋" w:hAnsi="仿宋" w:eastAsia="仿宋" w:cs="仿宋"/>
                <w:sz w:val="28"/>
                <w:szCs w:val="28"/>
                <w:lang w:eastAsia="zh-CN"/>
              </w:rPr>
            </w:pPr>
            <w:r>
              <w:rPr>
                <w:rFonts w:hint="eastAsia" w:ascii="仿宋" w:hAnsi="仿宋" w:eastAsia="仿宋" w:cs="仿宋"/>
                <w:b/>
                <w:bCs/>
                <w:kern w:val="2"/>
                <w:sz w:val="28"/>
                <w:szCs w:val="28"/>
                <w:lang w:val="en-US" w:eastAsia="zh-CN" w:bidi="ar-SA"/>
              </w:rPr>
              <w:t>3.办学特色：</w:t>
            </w:r>
            <w:r>
              <w:rPr>
                <w:rFonts w:hint="eastAsia" w:ascii="仿宋" w:hAnsi="仿宋" w:eastAsia="仿宋" w:cs="仿宋"/>
                <w:kern w:val="2"/>
                <w:sz w:val="28"/>
                <w:szCs w:val="28"/>
                <w:lang w:val="en-US" w:eastAsia="zh-CN" w:bidi="ar-SA"/>
              </w:rPr>
              <w:t>“十四五”期间如何凝练特色、传承特色、强化特色和创新特色。</w:t>
            </w:r>
          </w:p>
        </w:tc>
        <w:tc>
          <w:tcPr>
            <w:tcW w:w="2515"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5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发规处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5" w:hRule="atLeast"/>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5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w:t>
            </w:r>
          </w:p>
        </w:tc>
        <w:tc>
          <w:tcPr>
            <w:tcW w:w="20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50" w:lineRule="exact"/>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b/>
                <w:bCs/>
                <w:sz w:val="28"/>
                <w:szCs w:val="28"/>
              </w:rPr>
              <w:t>党建与思想政治工作</w:t>
            </w:r>
          </w:p>
        </w:tc>
        <w:tc>
          <w:tcPr>
            <w:tcW w:w="81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50" w:lineRule="exact"/>
              <w:jc w:val="both"/>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紧紧围绕国家对新形势下党建与高校思想政治工作的要求和指引，以显著提升学校思想政治工作质量为目标，开展校内外调研：</w:t>
            </w:r>
          </w:p>
          <w:p>
            <w:pPr>
              <w:keepNext w:val="0"/>
              <w:keepLines w:val="0"/>
              <w:pageBreakBefore w:val="0"/>
              <w:widowControl w:val="0"/>
              <w:numPr>
                <w:ilvl w:val="0"/>
                <w:numId w:val="0"/>
              </w:numPr>
              <w:kinsoku/>
              <w:wordWrap/>
              <w:overflowPunct/>
              <w:topLinePunct w:val="0"/>
              <w:autoSpaceDE/>
              <w:autoSpaceDN/>
              <w:bidi w:val="0"/>
              <w:adjustRightInd/>
              <w:snapToGrid/>
              <w:spacing w:line="45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1.分析学校党建工作的总体形势，党建工作的创新点以及新举措；</w:t>
            </w:r>
          </w:p>
          <w:p>
            <w:pPr>
              <w:keepNext w:val="0"/>
              <w:keepLines w:val="0"/>
              <w:pageBreakBefore w:val="0"/>
              <w:widowControl w:val="0"/>
              <w:numPr>
                <w:ilvl w:val="0"/>
                <w:numId w:val="0"/>
              </w:numPr>
              <w:kinsoku/>
              <w:wordWrap/>
              <w:overflowPunct/>
              <w:topLinePunct w:val="0"/>
              <w:autoSpaceDE/>
              <w:autoSpaceDN/>
              <w:bidi w:val="0"/>
              <w:adjustRightInd/>
              <w:snapToGrid/>
              <w:spacing w:line="45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2.党组织如何以习近平新时代中国特色社会主义思想为指导，持续发挥党建引领作用；</w:t>
            </w:r>
          </w:p>
          <w:p>
            <w:pPr>
              <w:keepNext w:val="0"/>
              <w:keepLines w:val="0"/>
              <w:pageBreakBefore w:val="0"/>
              <w:widowControl w:val="0"/>
              <w:numPr>
                <w:ilvl w:val="0"/>
                <w:numId w:val="0"/>
              </w:numPr>
              <w:kinsoku/>
              <w:wordWrap/>
              <w:overflowPunct/>
              <w:topLinePunct w:val="0"/>
              <w:autoSpaceDE/>
              <w:autoSpaceDN/>
              <w:bidi w:val="0"/>
              <w:adjustRightInd/>
              <w:snapToGrid/>
              <w:spacing w:line="45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3.如何培养培训高素质干部人才队伍；</w:t>
            </w:r>
          </w:p>
          <w:p>
            <w:pPr>
              <w:keepNext w:val="0"/>
              <w:keepLines w:val="0"/>
              <w:pageBreakBefore w:val="0"/>
              <w:widowControl w:val="0"/>
              <w:numPr>
                <w:ilvl w:val="0"/>
                <w:numId w:val="0"/>
              </w:numPr>
              <w:kinsoku/>
              <w:wordWrap/>
              <w:overflowPunct/>
              <w:topLinePunct w:val="0"/>
              <w:autoSpaceDE/>
              <w:autoSpaceDN/>
              <w:bidi w:val="0"/>
              <w:adjustRightInd/>
              <w:snapToGrid/>
              <w:spacing w:line="45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4.如何加强和完善思想政治工作队伍建设；</w:t>
            </w:r>
          </w:p>
          <w:p>
            <w:pPr>
              <w:keepNext w:val="0"/>
              <w:keepLines w:val="0"/>
              <w:pageBreakBefore w:val="0"/>
              <w:widowControl w:val="0"/>
              <w:numPr>
                <w:ilvl w:val="0"/>
                <w:numId w:val="0"/>
              </w:numPr>
              <w:kinsoku/>
              <w:wordWrap/>
              <w:overflowPunct/>
              <w:topLinePunct w:val="0"/>
              <w:autoSpaceDE/>
              <w:autoSpaceDN/>
              <w:bidi w:val="0"/>
              <w:adjustRightInd/>
              <w:snapToGrid/>
              <w:spacing w:line="450" w:lineRule="exact"/>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5.如何围绕“三全育人”工作，做好大学生思想政治教育（家国情怀与大国三农思想）等。</w:t>
            </w:r>
          </w:p>
        </w:tc>
        <w:tc>
          <w:tcPr>
            <w:tcW w:w="25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5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组织部</w:t>
            </w:r>
          </w:p>
          <w:p>
            <w:pPr>
              <w:keepNext w:val="0"/>
              <w:keepLines w:val="0"/>
              <w:pageBreakBefore w:val="0"/>
              <w:widowControl w:val="0"/>
              <w:kinsoku/>
              <w:wordWrap/>
              <w:overflowPunct/>
              <w:topLinePunct w:val="0"/>
              <w:autoSpaceDE/>
              <w:autoSpaceDN/>
              <w:bidi w:val="0"/>
              <w:adjustRightInd/>
              <w:snapToGrid/>
              <w:spacing w:line="450" w:lineRule="exact"/>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学工部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5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w:t>
            </w:r>
          </w:p>
        </w:tc>
        <w:tc>
          <w:tcPr>
            <w:tcW w:w="20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50" w:lineRule="exact"/>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b/>
                <w:bCs/>
                <w:sz w:val="28"/>
                <w:szCs w:val="28"/>
              </w:rPr>
              <w:t>学科</w:t>
            </w:r>
            <w:r>
              <w:rPr>
                <w:rFonts w:hint="eastAsia" w:ascii="仿宋" w:hAnsi="仿宋" w:eastAsia="仿宋" w:cs="仿宋"/>
                <w:b/>
                <w:bCs/>
                <w:sz w:val="28"/>
                <w:szCs w:val="28"/>
                <w:lang w:eastAsia="zh-CN"/>
              </w:rPr>
              <w:t>专业</w:t>
            </w:r>
            <w:r>
              <w:rPr>
                <w:rFonts w:hint="eastAsia" w:ascii="仿宋" w:hAnsi="仿宋" w:eastAsia="仿宋" w:cs="仿宋"/>
                <w:b/>
                <w:bCs/>
                <w:sz w:val="28"/>
                <w:szCs w:val="28"/>
              </w:rPr>
              <w:t>建设</w:t>
            </w:r>
            <w:r>
              <w:rPr>
                <w:rFonts w:hint="eastAsia" w:ascii="仿宋" w:hAnsi="仿宋" w:eastAsia="仿宋" w:cs="仿宋"/>
                <w:b/>
                <w:bCs/>
                <w:sz w:val="28"/>
                <w:szCs w:val="28"/>
                <w:lang w:eastAsia="zh-CN"/>
              </w:rPr>
              <w:t>与</w:t>
            </w:r>
            <w:r>
              <w:rPr>
                <w:rFonts w:hint="eastAsia" w:ascii="仿宋" w:hAnsi="仿宋" w:eastAsia="仿宋" w:cs="仿宋"/>
                <w:b/>
                <w:bCs/>
                <w:sz w:val="28"/>
                <w:szCs w:val="28"/>
              </w:rPr>
              <w:t>人才培养</w:t>
            </w:r>
          </w:p>
        </w:tc>
        <w:tc>
          <w:tcPr>
            <w:tcW w:w="81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50" w:lineRule="exact"/>
              <w:jc w:val="both"/>
              <w:textAlignment w:val="auto"/>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围绕培养什么人、怎样培养人、为谁培养人这一根本问题，结合国家对全面落实立德树人根本任务的要求和新农科建设对卓越农林人才的需求，开展校内外调研：</w:t>
            </w:r>
          </w:p>
          <w:p>
            <w:pPr>
              <w:pStyle w:val="7"/>
              <w:keepNext w:val="0"/>
              <w:keepLines w:val="0"/>
              <w:pageBreakBefore w:val="0"/>
              <w:widowControl w:val="0"/>
              <w:numPr>
                <w:ilvl w:val="0"/>
                <w:numId w:val="0"/>
              </w:numPr>
              <w:tabs>
                <w:tab w:val="left" w:pos="530"/>
              </w:tabs>
              <w:kinsoku/>
              <w:wordWrap/>
              <w:overflowPunct/>
              <w:topLinePunct w:val="0"/>
              <w:autoSpaceDE/>
              <w:autoSpaceDN/>
              <w:bidi w:val="0"/>
              <w:adjustRightInd/>
              <w:snapToGrid/>
              <w:spacing w:line="450" w:lineRule="exact"/>
              <w:ind w:right="112" w:rightChars="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1.如何践行“八个统一”，推动思想理论政治课改革创新，构建立德树人的专业课程体系；</w:t>
            </w:r>
          </w:p>
          <w:p>
            <w:pPr>
              <w:pStyle w:val="7"/>
              <w:keepNext w:val="0"/>
              <w:keepLines w:val="0"/>
              <w:pageBreakBefore w:val="0"/>
              <w:widowControl w:val="0"/>
              <w:numPr>
                <w:ilvl w:val="0"/>
                <w:numId w:val="0"/>
              </w:numPr>
              <w:tabs>
                <w:tab w:val="left" w:pos="530"/>
              </w:tabs>
              <w:kinsoku/>
              <w:wordWrap/>
              <w:overflowPunct/>
              <w:topLinePunct w:val="0"/>
              <w:autoSpaceDE/>
              <w:autoSpaceDN/>
              <w:bidi w:val="0"/>
              <w:adjustRightInd/>
              <w:snapToGrid/>
              <w:spacing w:line="450" w:lineRule="exact"/>
              <w:ind w:right="112" w:rightChars="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2.如何参考借鉴标杆学校的发展经验，凝练学科专业方向， 明确“十四五”期间的建设重点；</w:t>
            </w:r>
          </w:p>
          <w:p>
            <w:pPr>
              <w:pStyle w:val="7"/>
              <w:keepNext w:val="0"/>
              <w:keepLines w:val="0"/>
              <w:pageBreakBefore w:val="0"/>
              <w:widowControl w:val="0"/>
              <w:numPr>
                <w:ilvl w:val="0"/>
                <w:numId w:val="0"/>
              </w:numPr>
              <w:tabs>
                <w:tab w:val="left" w:pos="530"/>
              </w:tabs>
              <w:kinsoku/>
              <w:wordWrap/>
              <w:overflowPunct/>
              <w:topLinePunct w:val="0"/>
              <w:autoSpaceDE/>
              <w:autoSpaceDN/>
              <w:bidi w:val="0"/>
              <w:adjustRightInd/>
              <w:snapToGrid/>
              <w:spacing w:line="450" w:lineRule="exact"/>
              <w:ind w:right="112" w:rightChars="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3.如何采取有力举措，进一步提高学科专业建设水平， 争创新优势；</w:t>
            </w:r>
          </w:p>
          <w:p>
            <w:pPr>
              <w:pStyle w:val="7"/>
              <w:keepNext w:val="0"/>
              <w:keepLines w:val="0"/>
              <w:pageBreakBefore w:val="0"/>
              <w:widowControl w:val="0"/>
              <w:numPr>
                <w:ilvl w:val="0"/>
                <w:numId w:val="0"/>
              </w:numPr>
              <w:tabs>
                <w:tab w:val="left" w:pos="529"/>
              </w:tabs>
              <w:kinsoku/>
              <w:wordWrap/>
              <w:overflowPunct/>
              <w:topLinePunct w:val="0"/>
              <w:autoSpaceDE/>
              <w:autoSpaceDN/>
              <w:bidi w:val="0"/>
              <w:adjustRightInd/>
              <w:snapToGrid/>
              <w:spacing w:line="450" w:lineRule="exact"/>
              <w:ind w:right="91" w:rightChars="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4.如何建设与国家和地方经济社会发展需求相契合的学科专业建设与人才培养体系，推进“新农科”专业建设等；</w:t>
            </w:r>
          </w:p>
          <w:p>
            <w:pPr>
              <w:pStyle w:val="7"/>
              <w:keepNext w:val="0"/>
              <w:keepLines w:val="0"/>
              <w:pageBreakBefore w:val="0"/>
              <w:widowControl w:val="0"/>
              <w:numPr>
                <w:ilvl w:val="0"/>
                <w:numId w:val="0"/>
              </w:numPr>
              <w:tabs>
                <w:tab w:val="left" w:pos="529"/>
              </w:tabs>
              <w:kinsoku/>
              <w:wordWrap/>
              <w:overflowPunct/>
              <w:topLinePunct w:val="0"/>
              <w:autoSpaceDE/>
              <w:autoSpaceDN/>
              <w:bidi w:val="0"/>
              <w:adjustRightInd/>
              <w:snapToGrid/>
              <w:spacing w:line="450" w:lineRule="exact"/>
              <w:ind w:right="91" w:rightChars="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5.如何提高课程建设质量，打造一批线上、线下或线上线下混合的“金课”；</w:t>
            </w:r>
          </w:p>
          <w:p>
            <w:pPr>
              <w:pStyle w:val="7"/>
              <w:keepNext w:val="0"/>
              <w:keepLines w:val="0"/>
              <w:pageBreakBefore w:val="0"/>
              <w:widowControl w:val="0"/>
              <w:numPr>
                <w:ilvl w:val="0"/>
                <w:numId w:val="0"/>
              </w:numPr>
              <w:tabs>
                <w:tab w:val="left" w:pos="529"/>
              </w:tabs>
              <w:kinsoku/>
              <w:wordWrap/>
              <w:overflowPunct/>
              <w:topLinePunct w:val="0"/>
              <w:autoSpaceDE/>
              <w:autoSpaceDN/>
              <w:bidi w:val="0"/>
              <w:adjustRightInd/>
              <w:snapToGrid/>
              <w:spacing w:line="450" w:lineRule="exact"/>
              <w:ind w:right="91" w:rightChars="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6.如何发挥好基层教学组织阵地作用，推进教育教学改革，提高教学能力与教学水平；</w:t>
            </w:r>
          </w:p>
          <w:p>
            <w:pPr>
              <w:pStyle w:val="7"/>
              <w:keepNext w:val="0"/>
              <w:keepLines w:val="0"/>
              <w:pageBreakBefore w:val="0"/>
              <w:widowControl w:val="0"/>
              <w:numPr>
                <w:ilvl w:val="0"/>
                <w:numId w:val="0"/>
              </w:numPr>
              <w:tabs>
                <w:tab w:val="left" w:pos="529"/>
              </w:tabs>
              <w:kinsoku/>
              <w:wordWrap/>
              <w:overflowPunct/>
              <w:topLinePunct w:val="0"/>
              <w:autoSpaceDE/>
              <w:autoSpaceDN/>
              <w:bidi w:val="0"/>
              <w:adjustRightInd/>
              <w:snapToGrid/>
              <w:spacing w:line="450" w:lineRule="exact"/>
              <w:ind w:right="91" w:rightChars="0"/>
              <w:jc w:val="left"/>
              <w:textAlignment w:val="auto"/>
              <w:rPr>
                <w:rFonts w:hint="eastAsia" w:ascii="仿宋" w:hAnsi="仿宋" w:eastAsia="仿宋" w:cs="仿宋"/>
                <w:sz w:val="28"/>
                <w:szCs w:val="28"/>
                <w:lang w:eastAsia="zh-CN"/>
              </w:rPr>
            </w:pPr>
            <w:r>
              <w:rPr>
                <w:rFonts w:hint="eastAsia" w:ascii="仿宋" w:hAnsi="仿宋" w:eastAsia="仿宋" w:cs="仿宋"/>
                <w:kern w:val="2"/>
                <w:sz w:val="28"/>
                <w:szCs w:val="28"/>
                <w:lang w:val="en-US" w:eastAsia="zh-CN" w:bidi="ar-SA"/>
              </w:rPr>
              <w:t>7.如何深化实践教学改革，打造校企协同育人新亮点等。</w:t>
            </w:r>
          </w:p>
        </w:tc>
        <w:tc>
          <w:tcPr>
            <w:tcW w:w="25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5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教务处</w:t>
            </w:r>
          </w:p>
          <w:p>
            <w:pPr>
              <w:keepNext w:val="0"/>
              <w:keepLines w:val="0"/>
              <w:pageBreakBefore w:val="0"/>
              <w:widowControl w:val="0"/>
              <w:kinsoku/>
              <w:wordWrap/>
              <w:overflowPunct/>
              <w:topLinePunct w:val="0"/>
              <w:autoSpaceDE/>
              <w:autoSpaceDN/>
              <w:bidi w:val="0"/>
              <w:adjustRightInd/>
              <w:snapToGrid/>
              <w:spacing w:line="450" w:lineRule="exact"/>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各学院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5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w:t>
            </w:r>
          </w:p>
        </w:tc>
        <w:tc>
          <w:tcPr>
            <w:tcW w:w="20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50" w:lineRule="exact"/>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b/>
                <w:bCs/>
                <w:sz w:val="28"/>
                <w:szCs w:val="28"/>
                <w:lang w:eastAsia="zh-CN"/>
              </w:rPr>
              <w:t>科技与社会服务</w:t>
            </w:r>
          </w:p>
        </w:tc>
        <w:tc>
          <w:tcPr>
            <w:tcW w:w="8175" w:type="dxa"/>
            <w:tcBorders>
              <w:top w:val="single" w:color="auto" w:sz="4" w:space="0"/>
              <w:left w:val="single" w:color="auto" w:sz="4" w:space="0"/>
              <w:bottom w:val="single" w:color="auto" w:sz="4" w:space="0"/>
              <w:right w:val="single" w:color="auto" w:sz="4" w:space="0"/>
            </w:tcBorders>
            <w:noWrap w:val="0"/>
            <w:vAlign w:val="center"/>
          </w:tcPr>
          <w:p>
            <w:pPr>
              <w:pStyle w:val="6"/>
              <w:keepNext w:val="0"/>
              <w:keepLines w:val="0"/>
              <w:pageBreakBefore w:val="0"/>
              <w:kinsoku/>
              <w:wordWrap/>
              <w:overflowPunct/>
              <w:topLinePunct w:val="0"/>
              <w:autoSpaceDE/>
              <w:autoSpaceDN/>
              <w:bidi w:val="0"/>
              <w:adjustRightInd/>
              <w:snapToGrid/>
              <w:spacing w:line="450" w:lineRule="exact"/>
              <w:textAlignment w:val="auto"/>
              <w:rPr>
                <w:rFonts w:hint="eastAsia" w:ascii="仿宋" w:hAnsi="仿宋" w:eastAsia="仿宋" w:cs="仿宋"/>
              </w:rPr>
            </w:pPr>
            <w:r>
              <w:rPr>
                <w:rFonts w:hint="eastAsia" w:ascii="仿宋" w:hAnsi="仿宋" w:eastAsia="仿宋" w:cs="仿宋"/>
              </w:rPr>
              <w:t>窗体顶端</w:t>
            </w:r>
          </w:p>
          <w:p>
            <w:pPr>
              <w:pStyle w:val="7"/>
              <w:keepNext w:val="0"/>
              <w:keepLines w:val="0"/>
              <w:pageBreakBefore w:val="0"/>
              <w:widowControl w:val="0"/>
              <w:numPr>
                <w:ilvl w:val="0"/>
                <w:numId w:val="0"/>
              </w:numPr>
              <w:tabs>
                <w:tab w:val="left" w:pos="529"/>
              </w:tabs>
              <w:kinsoku/>
              <w:wordWrap/>
              <w:overflowPunct/>
              <w:topLinePunct w:val="0"/>
              <w:autoSpaceDE/>
              <w:autoSpaceDN/>
              <w:bidi w:val="0"/>
              <w:adjustRightInd/>
              <w:snapToGrid/>
              <w:spacing w:line="420" w:lineRule="exact"/>
              <w:ind w:left="108" w:leftChars="0" w:right="91" w:rightChars="0"/>
              <w:jc w:val="left"/>
              <w:textAlignment w:val="auto"/>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面向国家深入实施区域发展战略，加快大别山革命老区振兴发展等政策要求，围绕如何以进一步激发我校科研创新潜能、加强科研成果转化能力，提高我校对地方经济社会发展的服务能力和对科技创新的支撑能力为目标，开展校内外调研。</w:t>
            </w:r>
          </w:p>
          <w:p>
            <w:pPr>
              <w:pStyle w:val="7"/>
              <w:keepNext w:val="0"/>
              <w:keepLines w:val="0"/>
              <w:pageBreakBefore w:val="0"/>
              <w:widowControl w:val="0"/>
              <w:numPr>
                <w:ilvl w:val="0"/>
                <w:numId w:val="0"/>
              </w:numPr>
              <w:tabs>
                <w:tab w:val="left" w:pos="529"/>
              </w:tabs>
              <w:kinsoku/>
              <w:wordWrap/>
              <w:overflowPunct/>
              <w:topLinePunct w:val="0"/>
              <w:autoSpaceDE/>
              <w:autoSpaceDN/>
              <w:bidi w:val="0"/>
              <w:adjustRightInd/>
              <w:snapToGrid/>
              <w:spacing w:line="420" w:lineRule="exact"/>
              <w:ind w:right="91" w:rightChars="0"/>
              <w:jc w:val="left"/>
              <w:textAlignment w:val="auto"/>
              <w:rPr>
                <w:rFonts w:hint="eastAsia" w:ascii="仿宋" w:hAnsi="仿宋" w:eastAsia="仿宋" w:cs="仿宋"/>
                <w:b/>
                <w:bCs/>
                <w:kern w:val="2"/>
                <w:sz w:val="28"/>
                <w:szCs w:val="28"/>
                <w:lang w:val="en-US" w:eastAsia="zh-CN" w:bidi="ar-SA"/>
              </w:rPr>
            </w:pPr>
            <w:r>
              <w:rPr>
                <w:rFonts w:hint="eastAsia" w:ascii="仿宋" w:hAnsi="仿宋" w:eastAsia="仿宋" w:cs="仿宋"/>
                <w:kern w:val="2"/>
                <w:sz w:val="28"/>
                <w:szCs w:val="28"/>
                <w:lang w:val="en-US" w:eastAsia="zh-CN" w:bidi="ar-SA"/>
              </w:rPr>
              <w:t>1.如何发挥科研育人功能，推进科研反哺教学等；</w:t>
            </w:r>
          </w:p>
          <w:p>
            <w:pPr>
              <w:pStyle w:val="7"/>
              <w:keepNext w:val="0"/>
              <w:keepLines w:val="0"/>
              <w:pageBreakBefore w:val="0"/>
              <w:widowControl w:val="0"/>
              <w:numPr>
                <w:ilvl w:val="0"/>
                <w:numId w:val="0"/>
              </w:numPr>
              <w:tabs>
                <w:tab w:val="left" w:pos="529"/>
              </w:tabs>
              <w:kinsoku/>
              <w:wordWrap/>
              <w:overflowPunct/>
              <w:topLinePunct w:val="0"/>
              <w:autoSpaceDE/>
              <w:autoSpaceDN/>
              <w:bidi w:val="0"/>
              <w:adjustRightInd/>
              <w:snapToGrid/>
              <w:spacing w:line="420" w:lineRule="exact"/>
              <w:ind w:right="91" w:rightChars="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2.如何进一步提升科技创新能力，组建高水平的科技应用服务与创新团队，积极争取高水平科研项目；</w:t>
            </w:r>
          </w:p>
          <w:p>
            <w:pPr>
              <w:pStyle w:val="7"/>
              <w:keepNext w:val="0"/>
              <w:keepLines w:val="0"/>
              <w:pageBreakBefore w:val="0"/>
              <w:widowControl w:val="0"/>
              <w:numPr>
                <w:ilvl w:val="0"/>
                <w:numId w:val="0"/>
              </w:numPr>
              <w:tabs>
                <w:tab w:val="left" w:pos="529"/>
              </w:tabs>
              <w:kinsoku/>
              <w:wordWrap/>
              <w:overflowPunct/>
              <w:topLinePunct w:val="0"/>
              <w:autoSpaceDE/>
              <w:autoSpaceDN/>
              <w:bidi w:val="0"/>
              <w:adjustRightInd/>
              <w:snapToGrid/>
              <w:spacing w:line="420" w:lineRule="exact"/>
              <w:ind w:right="91" w:rightChars="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3.如何结合加快大别山振兴发展行动计划，规划布局高水平科技服务平台，提高服务社会经济发展能力等；</w:t>
            </w:r>
          </w:p>
          <w:p>
            <w:pPr>
              <w:pStyle w:val="7"/>
              <w:keepNext w:val="0"/>
              <w:keepLines w:val="0"/>
              <w:pageBreakBefore w:val="0"/>
              <w:widowControl w:val="0"/>
              <w:numPr>
                <w:ilvl w:val="0"/>
                <w:numId w:val="0"/>
              </w:numPr>
              <w:tabs>
                <w:tab w:val="left" w:pos="529"/>
              </w:tabs>
              <w:kinsoku/>
              <w:wordWrap/>
              <w:overflowPunct/>
              <w:topLinePunct w:val="0"/>
              <w:autoSpaceDE/>
              <w:autoSpaceDN/>
              <w:bidi w:val="0"/>
              <w:adjustRightInd/>
              <w:snapToGrid/>
              <w:spacing w:line="420" w:lineRule="exact"/>
              <w:ind w:right="91" w:rightChars="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4.建立有利于创新激励的学术评价机制；</w:t>
            </w:r>
          </w:p>
          <w:p>
            <w:pPr>
              <w:pStyle w:val="7"/>
              <w:keepNext w:val="0"/>
              <w:keepLines w:val="0"/>
              <w:pageBreakBefore w:val="0"/>
              <w:widowControl w:val="0"/>
              <w:numPr>
                <w:ilvl w:val="0"/>
                <w:numId w:val="0"/>
              </w:numPr>
              <w:tabs>
                <w:tab w:val="left" w:pos="529"/>
              </w:tabs>
              <w:kinsoku/>
              <w:wordWrap/>
              <w:overflowPunct/>
              <w:topLinePunct w:val="0"/>
              <w:autoSpaceDE/>
              <w:autoSpaceDN/>
              <w:bidi w:val="0"/>
              <w:adjustRightInd/>
              <w:snapToGrid/>
              <w:spacing w:line="420" w:lineRule="exact"/>
              <w:ind w:right="91" w:rightChars="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5.如何建立产学研深度融合机制（校地、校企合作机制）；</w:t>
            </w:r>
          </w:p>
          <w:p>
            <w:pPr>
              <w:pStyle w:val="7"/>
              <w:keepNext w:val="0"/>
              <w:keepLines w:val="0"/>
              <w:pageBreakBefore w:val="0"/>
              <w:widowControl w:val="0"/>
              <w:numPr>
                <w:ilvl w:val="0"/>
                <w:numId w:val="0"/>
              </w:numPr>
              <w:tabs>
                <w:tab w:val="left" w:pos="529"/>
              </w:tabs>
              <w:kinsoku/>
              <w:wordWrap/>
              <w:overflowPunct/>
              <w:topLinePunct w:val="0"/>
              <w:autoSpaceDE/>
              <w:autoSpaceDN/>
              <w:bidi w:val="0"/>
              <w:adjustRightInd/>
              <w:snapToGrid/>
              <w:spacing w:line="420" w:lineRule="exact"/>
              <w:ind w:right="91" w:rightChars="0"/>
              <w:jc w:val="left"/>
              <w:textAlignment w:val="auto"/>
              <w:rPr>
                <w:rFonts w:hint="eastAsia" w:ascii="仿宋" w:hAnsi="仿宋" w:eastAsia="仿宋" w:cs="仿宋"/>
                <w:sz w:val="28"/>
                <w:szCs w:val="28"/>
                <w:lang w:val="en-US" w:eastAsia="zh-CN"/>
              </w:rPr>
            </w:pPr>
            <w:r>
              <w:rPr>
                <w:rFonts w:hint="eastAsia" w:ascii="仿宋" w:hAnsi="仿宋" w:eastAsia="仿宋" w:cs="仿宋"/>
                <w:kern w:val="2"/>
                <w:sz w:val="28"/>
                <w:szCs w:val="28"/>
                <w:lang w:val="en-US" w:eastAsia="zh-CN" w:bidi="ar-SA"/>
              </w:rPr>
              <w:t>6.如何建立专业的成果转化队伍和平台，推动成果快速转化等。</w:t>
            </w:r>
          </w:p>
        </w:tc>
        <w:tc>
          <w:tcPr>
            <w:tcW w:w="25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50" w:lineRule="exact"/>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科技处</w:t>
            </w:r>
          </w:p>
          <w:p>
            <w:pPr>
              <w:keepNext w:val="0"/>
              <w:keepLines w:val="0"/>
              <w:pageBreakBefore w:val="0"/>
              <w:widowControl w:val="0"/>
              <w:kinsoku/>
              <w:wordWrap/>
              <w:overflowPunct/>
              <w:topLinePunct w:val="0"/>
              <w:autoSpaceDE/>
              <w:autoSpaceDN/>
              <w:bidi w:val="0"/>
              <w:adjustRightInd/>
              <w:snapToGrid/>
              <w:spacing w:line="450" w:lineRule="exact"/>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（校地合作处）</w:t>
            </w:r>
          </w:p>
          <w:p>
            <w:pPr>
              <w:keepNext w:val="0"/>
              <w:keepLines w:val="0"/>
              <w:pageBreakBefore w:val="0"/>
              <w:widowControl w:val="0"/>
              <w:kinsoku/>
              <w:wordWrap/>
              <w:overflowPunct/>
              <w:topLinePunct w:val="0"/>
              <w:autoSpaceDE/>
              <w:autoSpaceDN/>
              <w:bidi w:val="0"/>
              <w:adjustRightInd/>
              <w:snapToGrid/>
              <w:spacing w:line="45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eastAsia="zh-CN"/>
              </w:rPr>
              <w:t>各学院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5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w:t>
            </w:r>
          </w:p>
        </w:tc>
        <w:tc>
          <w:tcPr>
            <w:tcW w:w="20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50" w:lineRule="exact"/>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b/>
                <w:bCs/>
                <w:sz w:val="28"/>
                <w:szCs w:val="28"/>
              </w:rPr>
              <w:t>师资队伍建设</w:t>
            </w:r>
          </w:p>
        </w:tc>
        <w:tc>
          <w:tcPr>
            <w:tcW w:w="8175" w:type="dxa"/>
            <w:tcBorders>
              <w:top w:val="single" w:color="auto" w:sz="4" w:space="0"/>
              <w:left w:val="single" w:color="auto" w:sz="4" w:space="0"/>
              <w:bottom w:val="single" w:color="auto" w:sz="4" w:space="0"/>
              <w:right w:val="single" w:color="auto" w:sz="4" w:space="0"/>
            </w:tcBorders>
            <w:noWrap w:val="0"/>
            <w:vAlign w:val="center"/>
          </w:tcPr>
          <w:p>
            <w:pPr>
              <w:pStyle w:val="7"/>
              <w:keepNext w:val="0"/>
              <w:keepLines w:val="0"/>
              <w:pageBreakBefore w:val="0"/>
              <w:widowControl w:val="0"/>
              <w:numPr>
                <w:ilvl w:val="0"/>
                <w:numId w:val="0"/>
              </w:numPr>
              <w:tabs>
                <w:tab w:val="left" w:pos="529"/>
              </w:tabs>
              <w:kinsoku/>
              <w:wordWrap/>
              <w:overflowPunct/>
              <w:topLinePunct w:val="0"/>
              <w:autoSpaceDE/>
              <w:autoSpaceDN/>
              <w:bidi w:val="0"/>
              <w:adjustRightInd/>
              <w:snapToGrid/>
              <w:spacing w:line="450" w:lineRule="exact"/>
              <w:ind w:right="91" w:rightChars="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b/>
                <w:bCs/>
                <w:kern w:val="2"/>
                <w:sz w:val="28"/>
                <w:szCs w:val="28"/>
                <w:lang w:val="en-US" w:eastAsia="zh-CN" w:bidi="ar-SA"/>
              </w:rPr>
              <w:t>围绕“立德树人”根本任务，以建设高素质专业化创新型教师队伍为目标，针对学校师资队伍建设的现有问题及制约因素，开展校内外调研：</w:t>
            </w:r>
            <w:r>
              <w:rPr>
                <w:rFonts w:hint="eastAsia" w:ascii="仿宋" w:hAnsi="仿宋" w:eastAsia="仿宋" w:cs="仿宋"/>
                <w:kern w:val="2"/>
                <w:sz w:val="28"/>
                <w:szCs w:val="28"/>
                <w:lang w:val="en-US" w:eastAsia="zh-CN" w:bidi="ar-SA"/>
              </w:rPr>
              <w:t xml:space="preserve">      </w:t>
            </w:r>
          </w:p>
          <w:p>
            <w:pPr>
              <w:pStyle w:val="7"/>
              <w:keepNext w:val="0"/>
              <w:keepLines w:val="0"/>
              <w:pageBreakBefore w:val="0"/>
              <w:widowControl w:val="0"/>
              <w:numPr>
                <w:ilvl w:val="0"/>
                <w:numId w:val="0"/>
              </w:numPr>
              <w:tabs>
                <w:tab w:val="left" w:pos="529"/>
              </w:tabs>
              <w:kinsoku/>
              <w:wordWrap/>
              <w:overflowPunct/>
              <w:topLinePunct w:val="0"/>
              <w:autoSpaceDE/>
              <w:autoSpaceDN/>
              <w:bidi w:val="0"/>
              <w:adjustRightInd/>
              <w:snapToGrid/>
              <w:spacing w:line="450" w:lineRule="exact"/>
              <w:ind w:right="91" w:rightChars="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1.如何建立健全师德师风建设的长效机制；</w:t>
            </w:r>
          </w:p>
          <w:p>
            <w:pPr>
              <w:pStyle w:val="7"/>
              <w:keepNext w:val="0"/>
              <w:keepLines w:val="0"/>
              <w:pageBreakBefore w:val="0"/>
              <w:widowControl w:val="0"/>
              <w:numPr>
                <w:ilvl w:val="0"/>
                <w:numId w:val="0"/>
              </w:numPr>
              <w:tabs>
                <w:tab w:val="left" w:pos="529"/>
              </w:tabs>
              <w:kinsoku/>
              <w:wordWrap/>
              <w:overflowPunct/>
              <w:topLinePunct w:val="0"/>
              <w:autoSpaceDE/>
              <w:autoSpaceDN/>
              <w:bidi w:val="0"/>
              <w:adjustRightInd/>
              <w:snapToGrid/>
              <w:spacing w:line="450" w:lineRule="exact"/>
              <w:ind w:right="91" w:rightChars="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2.如何科学制定人才引进规划，强化博士人才引进，建立更加开放、行之有效的高层次人才引进机制；</w:t>
            </w:r>
          </w:p>
          <w:p>
            <w:pPr>
              <w:pStyle w:val="7"/>
              <w:keepNext w:val="0"/>
              <w:keepLines w:val="0"/>
              <w:pageBreakBefore w:val="0"/>
              <w:widowControl w:val="0"/>
              <w:numPr>
                <w:ilvl w:val="0"/>
                <w:numId w:val="0"/>
              </w:numPr>
              <w:tabs>
                <w:tab w:val="left" w:pos="529"/>
              </w:tabs>
              <w:kinsoku/>
              <w:wordWrap/>
              <w:overflowPunct/>
              <w:topLinePunct w:val="0"/>
              <w:autoSpaceDE/>
              <w:autoSpaceDN/>
              <w:bidi w:val="0"/>
              <w:adjustRightInd/>
              <w:snapToGrid/>
              <w:spacing w:line="450" w:lineRule="exact"/>
              <w:ind w:right="91" w:rightChars="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3.如何为青年教师搭建成长成才、脱颖而出的平台和机制；</w:t>
            </w:r>
          </w:p>
          <w:p>
            <w:pPr>
              <w:pStyle w:val="7"/>
              <w:keepNext w:val="0"/>
              <w:keepLines w:val="0"/>
              <w:pageBreakBefore w:val="0"/>
              <w:widowControl w:val="0"/>
              <w:numPr>
                <w:ilvl w:val="0"/>
                <w:numId w:val="0"/>
              </w:numPr>
              <w:tabs>
                <w:tab w:val="left" w:pos="529"/>
              </w:tabs>
              <w:kinsoku/>
              <w:wordWrap/>
              <w:overflowPunct/>
              <w:topLinePunct w:val="0"/>
              <w:autoSpaceDE/>
              <w:autoSpaceDN/>
              <w:bidi w:val="0"/>
              <w:adjustRightInd/>
              <w:snapToGrid/>
              <w:spacing w:line="450" w:lineRule="exact"/>
              <w:ind w:right="91" w:rightChars="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4.如何优化师资队伍结构，加大高层次人才、双师双能型教师队伍培养力度，加强培育形成可持续发展的人才梯队；</w:t>
            </w:r>
          </w:p>
          <w:p>
            <w:pPr>
              <w:pStyle w:val="7"/>
              <w:keepNext w:val="0"/>
              <w:keepLines w:val="0"/>
              <w:pageBreakBefore w:val="0"/>
              <w:widowControl w:val="0"/>
              <w:numPr>
                <w:ilvl w:val="0"/>
                <w:numId w:val="0"/>
              </w:numPr>
              <w:tabs>
                <w:tab w:val="left" w:pos="529"/>
              </w:tabs>
              <w:kinsoku/>
              <w:wordWrap/>
              <w:overflowPunct/>
              <w:topLinePunct w:val="0"/>
              <w:autoSpaceDE/>
              <w:autoSpaceDN/>
              <w:bidi w:val="0"/>
              <w:adjustRightInd/>
              <w:snapToGrid/>
              <w:spacing w:line="450" w:lineRule="exact"/>
              <w:ind w:right="91" w:rightChars="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5.如何建立以能力和业绩为主导的绩效考核评价制度，形成有利于人才持续发力的薪酬激励机制等。</w:t>
            </w:r>
          </w:p>
        </w:tc>
        <w:tc>
          <w:tcPr>
            <w:tcW w:w="25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5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人事处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5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w:t>
            </w:r>
          </w:p>
        </w:tc>
        <w:tc>
          <w:tcPr>
            <w:tcW w:w="20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b/>
                <w:bCs/>
                <w:sz w:val="28"/>
                <w:szCs w:val="28"/>
                <w:lang w:eastAsia="zh-CN"/>
              </w:rPr>
              <w:t>内部</w:t>
            </w:r>
            <w:r>
              <w:rPr>
                <w:rFonts w:hint="eastAsia" w:ascii="仿宋" w:hAnsi="仿宋" w:eastAsia="仿宋" w:cs="仿宋"/>
                <w:b/>
                <w:bCs/>
                <w:sz w:val="28"/>
                <w:szCs w:val="28"/>
              </w:rPr>
              <w:t>治理体系</w:t>
            </w:r>
          </w:p>
        </w:tc>
        <w:tc>
          <w:tcPr>
            <w:tcW w:w="8175" w:type="dxa"/>
            <w:tcBorders>
              <w:top w:val="single" w:color="auto" w:sz="4" w:space="0"/>
              <w:left w:val="single" w:color="auto" w:sz="4" w:space="0"/>
              <w:bottom w:val="single" w:color="auto" w:sz="4" w:space="0"/>
              <w:right w:val="single" w:color="auto" w:sz="4" w:space="0"/>
            </w:tcBorders>
            <w:noWrap w:val="0"/>
            <w:vAlign w:val="center"/>
          </w:tcPr>
          <w:p>
            <w:pPr>
              <w:pStyle w:val="7"/>
              <w:keepNext w:val="0"/>
              <w:keepLines w:val="0"/>
              <w:pageBreakBefore w:val="0"/>
              <w:widowControl w:val="0"/>
              <w:numPr>
                <w:ilvl w:val="0"/>
                <w:numId w:val="0"/>
              </w:numPr>
              <w:tabs>
                <w:tab w:val="left" w:pos="529"/>
              </w:tabs>
              <w:kinsoku/>
              <w:wordWrap/>
              <w:overflowPunct/>
              <w:topLinePunct w:val="0"/>
              <w:autoSpaceDE/>
              <w:autoSpaceDN/>
              <w:bidi w:val="0"/>
              <w:adjustRightInd/>
              <w:snapToGrid/>
              <w:spacing w:line="420" w:lineRule="exact"/>
              <w:ind w:left="107" w:leftChars="0" w:right="91" w:rightChars="0"/>
              <w:jc w:val="left"/>
              <w:textAlignment w:val="auto"/>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认真梳理学校在内部管理体制机制上存在的问题，以推进学校内部治理体系现代化、建立中国特色的现代大学制度为目标，开展校内外调研：</w:t>
            </w:r>
          </w:p>
          <w:p>
            <w:pPr>
              <w:pStyle w:val="7"/>
              <w:keepNext w:val="0"/>
              <w:keepLines w:val="0"/>
              <w:pageBreakBefore w:val="0"/>
              <w:widowControl w:val="0"/>
              <w:numPr>
                <w:ilvl w:val="0"/>
                <w:numId w:val="0"/>
              </w:numPr>
              <w:tabs>
                <w:tab w:val="left" w:pos="529"/>
              </w:tabs>
              <w:kinsoku/>
              <w:wordWrap/>
              <w:overflowPunct/>
              <w:topLinePunct w:val="0"/>
              <w:autoSpaceDE/>
              <w:autoSpaceDN/>
              <w:bidi w:val="0"/>
              <w:adjustRightInd/>
              <w:snapToGrid/>
              <w:spacing w:line="420" w:lineRule="exact"/>
              <w:ind w:right="91" w:rightChars="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1.如何进一步贯彻落实党委领导下的校长负责制；</w:t>
            </w:r>
          </w:p>
          <w:p>
            <w:pPr>
              <w:pStyle w:val="7"/>
              <w:keepNext w:val="0"/>
              <w:keepLines w:val="0"/>
              <w:pageBreakBefore w:val="0"/>
              <w:widowControl w:val="0"/>
              <w:numPr>
                <w:ilvl w:val="0"/>
                <w:numId w:val="0"/>
              </w:numPr>
              <w:tabs>
                <w:tab w:val="left" w:pos="529"/>
              </w:tabs>
              <w:kinsoku/>
              <w:wordWrap/>
              <w:overflowPunct/>
              <w:topLinePunct w:val="0"/>
              <w:autoSpaceDE/>
              <w:autoSpaceDN/>
              <w:bidi w:val="0"/>
              <w:adjustRightInd/>
              <w:snapToGrid/>
              <w:spacing w:line="420" w:lineRule="exact"/>
              <w:ind w:right="91" w:rightChars="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2.如何完善学校管理运行规程，提高机关行政执行效率，推进依法治校；</w:t>
            </w:r>
          </w:p>
          <w:p>
            <w:pPr>
              <w:pStyle w:val="7"/>
              <w:keepNext w:val="0"/>
              <w:keepLines w:val="0"/>
              <w:pageBreakBefore w:val="0"/>
              <w:widowControl w:val="0"/>
              <w:numPr>
                <w:ilvl w:val="0"/>
                <w:numId w:val="0"/>
              </w:numPr>
              <w:tabs>
                <w:tab w:val="left" w:pos="529"/>
              </w:tabs>
              <w:kinsoku/>
              <w:wordWrap/>
              <w:overflowPunct/>
              <w:topLinePunct w:val="0"/>
              <w:autoSpaceDE/>
              <w:autoSpaceDN/>
              <w:bidi w:val="0"/>
              <w:adjustRightInd/>
              <w:snapToGrid/>
              <w:spacing w:line="420" w:lineRule="exact"/>
              <w:ind w:right="91" w:rightChars="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3.如何更好地发挥学术委员会的作用，厘清行政权力与学术权力的关系；</w:t>
            </w:r>
          </w:p>
          <w:p>
            <w:pPr>
              <w:pStyle w:val="7"/>
              <w:keepNext w:val="0"/>
              <w:keepLines w:val="0"/>
              <w:pageBreakBefore w:val="0"/>
              <w:widowControl w:val="0"/>
              <w:numPr>
                <w:ilvl w:val="0"/>
                <w:numId w:val="0"/>
              </w:numPr>
              <w:tabs>
                <w:tab w:val="left" w:pos="529"/>
              </w:tabs>
              <w:kinsoku/>
              <w:wordWrap/>
              <w:overflowPunct/>
              <w:topLinePunct w:val="0"/>
              <w:autoSpaceDE/>
              <w:autoSpaceDN/>
              <w:bidi w:val="0"/>
              <w:adjustRightInd/>
              <w:snapToGrid/>
              <w:spacing w:line="420" w:lineRule="exact"/>
              <w:ind w:right="91" w:rightChars="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4.如何厘清校院两级责权利关系、推进办学重心下移；</w:t>
            </w:r>
          </w:p>
          <w:p>
            <w:pPr>
              <w:pStyle w:val="7"/>
              <w:keepNext w:val="0"/>
              <w:keepLines w:val="0"/>
              <w:pageBreakBefore w:val="0"/>
              <w:widowControl w:val="0"/>
              <w:numPr>
                <w:ilvl w:val="0"/>
                <w:numId w:val="0"/>
              </w:numPr>
              <w:tabs>
                <w:tab w:val="left" w:pos="529"/>
              </w:tabs>
              <w:kinsoku/>
              <w:wordWrap/>
              <w:overflowPunct/>
              <w:topLinePunct w:val="0"/>
              <w:autoSpaceDE/>
              <w:autoSpaceDN/>
              <w:bidi w:val="0"/>
              <w:adjustRightInd/>
              <w:snapToGrid/>
              <w:spacing w:line="420" w:lineRule="exact"/>
              <w:ind w:right="91" w:rightChars="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5.如何构建社会及校内各类群体（校友、教师、学生等）参与学校民主管理和监督的有效途径等。</w:t>
            </w:r>
          </w:p>
        </w:tc>
        <w:tc>
          <w:tcPr>
            <w:tcW w:w="25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50" w:lineRule="exact"/>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lang w:eastAsia="zh-CN"/>
              </w:rPr>
              <w:t>党办</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校办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5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w:t>
            </w:r>
          </w:p>
        </w:tc>
        <w:tc>
          <w:tcPr>
            <w:tcW w:w="20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b/>
                <w:bCs/>
                <w:sz w:val="28"/>
                <w:szCs w:val="28"/>
                <w:lang w:val="en-US" w:eastAsia="zh-CN"/>
              </w:rPr>
              <w:t>大学</w:t>
            </w:r>
            <w:r>
              <w:rPr>
                <w:rFonts w:hint="eastAsia" w:ascii="仿宋" w:hAnsi="仿宋" w:eastAsia="仿宋" w:cs="仿宋"/>
                <w:b/>
                <w:bCs/>
                <w:sz w:val="28"/>
                <w:szCs w:val="28"/>
              </w:rPr>
              <w:t>文化建设</w:t>
            </w:r>
          </w:p>
        </w:tc>
        <w:tc>
          <w:tcPr>
            <w:tcW w:w="81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以习近平新时代中国特色社会主义思想为引领，围绕学校校园文化建设的根本方向、根本任务、根本目标、根本要求，开展校内外调研：</w:t>
            </w:r>
          </w:p>
          <w:p>
            <w:pPr>
              <w:keepNext w:val="0"/>
              <w:keepLines w:val="0"/>
              <w:pageBreakBefore w:val="0"/>
              <w:widowControl w:val="0"/>
              <w:numPr>
                <w:ilvl w:val="0"/>
                <w:numId w:val="1"/>
              </w:numPr>
              <w:kinsoku/>
              <w:wordWrap/>
              <w:overflowPunct/>
              <w:topLinePunct w:val="0"/>
              <w:autoSpaceDE/>
              <w:autoSpaceDN/>
              <w:bidi w:val="0"/>
              <w:adjustRightInd/>
              <w:snapToGrid/>
              <w:spacing w:line="420" w:lineRule="exact"/>
              <w:jc w:val="both"/>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明确</w:t>
            </w:r>
            <w:r>
              <w:rPr>
                <w:rFonts w:hint="eastAsia" w:ascii="仿宋" w:hAnsi="仿宋" w:eastAsia="仿宋" w:cs="仿宋"/>
                <w:sz w:val="28"/>
                <w:szCs w:val="28"/>
              </w:rPr>
              <w:t>“十四五”校园文化建设</w:t>
            </w:r>
            <w:r>
              <w:rPr>
                <w:rFonts w:hint="eastAsia" w:ascii="仿宋" w:hAnsi="仿宋" w:eastAsia="仿宋" w:cs="仿宋"/>
                <w:sz w:val="28"/>
                <w:szCs w:val="28"/>
                <w:lang w:eastAsia="zh-CN"/>
              </w:rPr>
              <w:t>目标、</w:t>
            </w:r>
            <w:r>
              <w:rPr>
                <w:rFonts w:hint="eastAsia" w:ascii="仿宋" w:hAnsi="仿宋" w:eastAsia="仿宋" w:cs="仿宋"/>
                <w:sz w:val="28"/>
                <w:szCs w:val="28"/>
              </w:rPr>
              <w:t>战略</w:t>
            </w:r>
            <w:r>
              <w:rPr>
                <w:rFonts w:hint="eastAsia" w:ascii="仿宋" w:hAnsi="仿宋" w:eastAsia="仿宋" w:cs="仿宋"/>
                <w:sz w:val="28"/>
                <w:szCs w:val="28"/>
                <w:lang w:eastAsia="zh-CN"/>
              </w:rPr>
              <w:t>与举措；</w:t>
            </w:r>
          </w:p>
          <w:p>
            <w:pPr>
              <w:keepNext w:val="0"/>
              <w:keepLines w:val="0"/>
              <w:pageBreakBefore w:val="0"/>
              <w:widowControl w:val="0"/>
              <w:numPr>
                <w:ilvl w:val="0"/>
                <w:numId w:val="1"/>
              </w:numPr>
              <w:kinsoku/>
              <w:wordWrap/>
              <w:overflowPunct/>
              <w:topLinePunct w:val="0"/>
              <w:autoSpaceDE/>
              <w:autoSpaceDN/>
              <w:bidi w:val="0"/>
              <w:adjustRightInd/>
              <w:snapToGrid/>
              <w:spacing w:line="420" w:lineRule="exact"/>
              <w:jc w:val="both"/>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如何将社会主义核心价值观融入大学校园文化建设；</w:t>
            </w:r>
          </w:p>
          <w:p>
            <w:pPr>
              <w:keepNext w:val="0"/>
              <w:keepLines w:val="0"/>
              <w:pageBreakBefore w:val="0"/>
              <w:widowControl w:val="0"/>
              <w:numPr>
                <w:ilvl w:val="0"/>
                <w:numId w:val="1"/>
              </w:numPr>
              <w:kinsoku/>
              <w:wordWrap/>
              <w:overflowPunct/>
              <w:topLinePunct w:val="0"/>
              <w:autoSpaceDE/>
              <w:autoSpaceDN/>
              <w:bidi w:val="0"/>
              <w:adjustRightInd/>
              <w:snapToGrid/>
              <w:spacing w:line="420" w:lineRule="exact"/>
              <w:jc w:val="both"/>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如何创新文化育人途径，以新技术传播和推广校园文化；</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both"/>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如何结合“三全育人”工作，巩固精神文明创建成果，打造校园文化品牌。</w:t>
            </w:r>
          </w:p>
        </w:tc>
        <w:tc>
          <w:tcPr>
            <w:tcW w:w="25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5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宣传部</w:t>
            </w:r>
          </w:p>
          <w:p>
            <w:pPr>
              <w:keepNext w:val="0"/>
              <w:keepLines w:val="0"/>
              <w:pageBreakBefore w:val="0"/>
              <w:widowControl w:val="0"/>
              <w:kinsoku/>
              <w:wordWrap/>
              <w:overflowPunct/>
              <w:topLinePunct w:val="0"/>
              <w:autoSpaceDE/>
              <w:autoSpaceDN/>
              <w:bidi w:val="0"/>
              <w:adjustRightInd/>
              <w:snapToGrid/>
              <w:spacing w:line="450" w:lineRule="exact"/>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团委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50" w:lineRule="exact"/>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8</w:t>
            </w:r>
          </w:p>
        </w:tc>
        <w:tc>
          <w:tcPr>
            <w:tcW w:w="20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创新创业教育</w:t>
            </w:r>
          </w:p>
        </w:tc>
        <w:tc>
          <w:tcPr>
            <w:tcW w:w="81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围绕“立德树人根本任务，坚持创新创业引领”，以培养创新精神与创业意识为核心，构建创新创业教育长效机制展开专题调研。包括创新创业教育课程资源、创新创业实践基地建设、创新创业平台建设等相关调研内容。</w:t>
            </w:r>
          </w:p>
        </w:tc>
        <w:tc>
          <w:tcPr>
            <w:tcW w:w="25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50" w:lineRule="exact"/>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大学生创新创业中心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50" w:lineRule="exact"/>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8</w:t>
            </w:r>
          </w:p>
        </w:tc>
        <w:tc>
          <w:tcPr>
            <w:tcW w:w="20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50" w:lineRule="exact"/>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b/>
                <w:bCs/>
                <w:sz w:val="28"/>
                <w:szCs w:val="28"/>
                <w:lang w:eastAsia="zh-CN"/>
              </w:rPr>
              <w:t>开放与合作办学</w:t>
            </w:r>
          </w:p>
        </w:tc>
        <w:tc>
          <w:tcPr>
            <w:tcW w:w="81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rPr>
              <w:t>围</w:t>
            </w:r>
            <w:r>
              <w:rPr>
                <w:rFonts w:hint="eastAsia" w:ascii="仿宋" w:hAnsi="仿宋" w:eastAsia="仿宋" w:cs="仿宋"/>
                <w:kern w:val="2"/>
                <w:sz w:val="28"/>
                <w:szCs w:val="28"/>
                <w:lang w:val="en-US" w:eastAsia="zh-CN" w:bidi="ar-SA"/>
              </w:rPr>
              <w:t>绕学校开放性办学定位，以完善国际教育教学合作体系、提升学校影响力为目标，针对国际化开放性办学的现有问题及制约因素，开展校内外调研。</w:t>
            </w:r>
          </w:p>
        </w:tc>
        <w:tc>
          <w:tcPr>
            <w:tcW w:w="25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50" w:lineRule="exact"/>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rPr>
              <w:t>国际</w:t>
            </w:r>
            <w:r>
              <w:rPr>
                <w:rFonts w:hint="eastAsia" w:ascii="仿宋" w:hAnsi="仿宋" w:eastAsia="仿宋" w:cs="仿宋"/>
                <w:sz w:val="28"/>
                <w:szCs w:val="28"/>
                <w:lang w:eastAsia="zh-CN"/>
              </w:rPr>
              <w:t>合作与交流部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6" w:hRule="atLeast"/>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5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w:t>
            </w:r>
          </w:p>
        </w:tc>
        <w:tc>
          <w:tcPr>
            <w:tcW w:w="20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50" w:lineRule="exact"/>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b/>
                <w:bCs/>
                <w:sz w:val="28"/>
                <w:szCs w:val="28"/>
                <w:lang w:eastAsia="zh-CN"/>
              </w:rPr>
              <w:t>办学资源与保障体系建设</w:t>
            </w:r>
          </w:p>
        </w:tc>
        <w:tc>
          <w:tcPr>
            <w:tcW w:w="8175" w:type="dxa"/>
            <w:tcBorders>
              <w:top w:val="single" w:color="auto" w:sz="4" w:space="0"/>
              <w:left w:val="single" w:color="auto" w:sz="4" w:space="0"/>
              <w:bottom w:val="single" w:color="auto" w:sz="4" w:space="0"/>
              <w:right w:val="single" w:color="auto" w:sz="4" w:space="0"/>
            </w:tcBorders>
            <w:noWrap w:val="0"/>
            <w:vAlign w:val="center"/>
          </w:tcPr>
          <w:p>
            <w:pPr>
              <w:pStyle w:val="6"/>
              <w:keepNext w:val="0"/>
              <w:keepLines w:val="0"/>
              <w:pageBreakBefore w:val="0"/>
              <w:kinsoku/>
              <w:wordWrap/>
              <w:overflowPunct/>
              <w:topLinePunct w:val="0"/>
              <w:autoSpaceDE/>
              <w:autoSpaceDN/>
              <w:bidi w:val="0"/>
              <w:adjustRightInd/>
              <w:snapToGrid/>
              <w:spacing w:line="450" w:lineRule="exact"/>
              <w:textAlignment w:val="auto"/>
              <w:rPr>
                <w:rFonts w:hint="eastAsia" w:ascii="仿宋" w:hAnsi="仿宋" w:eastAsia="仿宋" w:cs="仿宋"/>
              </w:rPr>
            </w:pPr>
            <w:r>
              <w:rPr>
                <w:rFonts w:hint="eastAsia" w:ascii="仿宋" w:hAnsi="仿宋" w:eastAsia="仿宋" w:cs="仿宋"/>
                <w:sz w:val="28"/>
                <w:szCs w:val="28"/>
              </w:rPr>
              <w:t>“十四五”校园基本建设</w:t>
            </w:r>
            <w:r>
              <w:rPr>
                <w:rFonts w:hint="eastAsia" w:ascii="仿宋" w:hAnsi="仿宋" w:eastAsia="仿宋" w:cs="仿宋"/>
                <w:sz w:val="28"/>
                <w:szCs w:val="28"/>
                <w:lang w:eastAsia="zh-CN"/>
              </w:rPr>
              <w:t>目标与规划布局，</w:t>
            </w:r>
            <w:r>
              <w:rPr>
                <w:rFonts w:hint="eastAsia" w:ascii="仿宋" w:hAnsi="仿宋" w:eastAsia="仿宋" w:cs="仿宋"/>
              </w:rPr>
              <w:t>窗体顶端</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exact"/>
              <w:ind w:right="454" w:firstLine="280" w:firstLineChars="100"/>
              <w:jc w:val="left"/>
              <w:textAlignment w:val="auto"/>
              <w:rPr>
                <w:rFonts w:hint="eastAsia" w:ascii="仿宋" w:hAnsi="仿宋" w:eastAsia="仿宋" w:cs="仿宋"/>
                <w:sz w:val="28"/>
                <w:szCs w:val="28"/>
                <w:lang w:eastAsia="zh-CN"/>
              </w:rPr>
            </w:pPr>
            <w:r>
              <w:rPr>
                <w:rFonts w:hint="eastAsia" w:ascii="仿宋" w:hAnsi="仿宋" w:eastAsia="仿宋" w:cs="仿宋"/>
                <w:kern w:val="2"/>
                <w:sz w:val="28"/>
                <w:szCs w:val="28"/>
                <w:lang w:val="en-US" w:eastAsia="zh-CN" w:bidi="ar-SA"/>
              </w:rPr>
              <w:t>围绕如何优化整合内外办学资源，提升开放办学水平与保障体系建设水平开展调研。包含校园基本建设；实验室建设；实践教学基地建设；教育信息化建设；后勤保障建设；智慧图书馆建设；校园安全建设；筹融资与财务管理；盘活现有存量；建设资源配置优化体系（招生指标、资金、资产等）。</w:t>
            </w:r>
          </w:p>
        </w:tc>
        <w:tc>
          <w:tcPr>
            <w:tcW w:w="25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5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基建处</w:t>
            </w:r>
          </w:p>
          <w:p>
            <w:pPr>
              <w:keepNext w:val="0"/>
              <w:keepLines w:val="0"/>
              <w:pageBreakBefore w:val="0"/>
              <w:widowControl w:val="0"/>
              <w:kinsoku/>
              <w:wordWrap/>
              <w:overflowPunct/>
              <w:topLinePunct w:val="0"/>
              <w:autoSpaceDE/>
              <w:autoSpaceDN/>
              <w:bidi w:val="0"/>
              <w:adjustRightInd/>
              <w:snapToGrid/>
              <w:spacing w:line="450" w:lineRule="exact"/>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实验设备管理处</w:t>
            </w:r>
          </w:p>
          <w:p>
            <w:pPr>
              <w:keepNext w:val="0"/>
              <w:keepLines w:val="0"/>
              <w:pageBreakBefore w:val="0"/>
              <w:widowControl w:val="0"/>
              <w:kinsoku/>
              <w:wordWrap/>
              <w:overflowPunct/>
              <w:topLinePunct w:val="0"/>
              <w:autoSpaceDE/>
              <w:autoSpaceDN/>
              <w:bidi w:val="0"/>
              <w:adjustRightInd/>
              <w:snapToGrid/>
              <w:spacing w:line="450" w:lineRule="exact"/>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中心实验室</w:t>
            </w:r>
          </w:p>
          <w:p>
            <w:pPr>
              <w:keepNext w:val="0"/>
              <w:keepLines w:val="0"/>
              <w:pageBreakBefore w:val="0"/>
              <w:widowControl w:val="0"/>
              <w:kinsoku/>
              <w:wordWrap/>
              <w:overflowPunct/>
              <w:topLinePunct w:val="0"/>
              <w:autoSpaceDE/>
              <w:autoSpaceDN/>
              <w:bidi w:val="0"/>
              <w:adjustRightInd/>
              <w:snapToGrid/>
              <w:spacing w:line="450" w:lineRule="exact"/>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财务处</w:t>
            </w:r>
          </w:p>
          <w:p>
            <w:pPr>
              <w:keepNext w:val="0"/>
              <w:keepLines w:val="0"/>
              <w:pageBreakBefore w:val="0"/>
              <w:widowControl w:val="0"/>
              <w:kinsoku/>
              <w:wordWrap/>
              <w:overflowPunct/>
              <w:topLinePunct w:val="0"/>
              <w:autoSpaceDE/>
              <w:autoSpaceDN/>
              <w:bidi w:val="0"/>
              <w:adjustRightInd/>
              <w:snapToGrid/>
              <w:spacing w:line="450" w:lineRule="exact"/>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图书馆</w:t>
            </w:r>
          </w:p>
          <w:p>
            <w:pPr>
              <w:keepNext w:val="0"/>
              <w:keepLines w:val="0"/>
              <w:pageBreakBefore w:val="0"/>
              <w:widowControl w:val="0"/>
              <w:kinsoku/>
              <w:wordWrap/>
              <w:overflowPunct/>
              <w:topLinePunct w:val="0"/>
              <w:autoSpaceDE/>
              <w:autoSpaceDN/>
              <w:bidi w:val="0"/>
              <w:adjustRightInd/>
              <w:snapToGrid/>
              <w:spacing w:line="450" w:lineRule="exact"/>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保卫处</w:t>
            </w:r>
          </w:p>
          <w:p>
            <w:pPr>
              <w:keepNext w:val="0"/>
              <w:keepLines w:val="0"/>
              <w:pageBreakBefore w:val="0"/>
              <w:widowControl w:val="0"/>
              <w:kinsoku/>
              <w:wordWrap/>
              <w:overflowPunct/>
              <w:topLinePunct w:val="0"/>
              <w:autoSpaceDE/>
              <w:autoSpaceDN/>
              <w:bidi w:val="0"/>
              <w:adjustRightInd/>
              <w:snapToGrid/>
              <w:spacing w:line="450" w:lineRule="exact"/>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招就处</w:t>
            </w:r>
          </w:p>
          <w:p>
            <w:pPr>
              <w:keepNext w:val="0"/>
              <w:keepLines w:val="0"/>
              <w:pageBreakBefore w:val="0"/>
              <w:widowControl w:val="0"/>
              <w:kinsoku/>
              <w:wordWrap/>
              <w:overflowPunct/>
              <w:topLinePunct w:val="0"/>
              <w:autoSpaceDE/>
              <w:autoSpaceDN/>
              <w:bidi w:val="0"/>
              <w:adjustRightInd/>
              <w:snapToGrid/>
              <w:spacing w:line="450" w:lineRule="exact"/>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后勤管理处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4" w:hRule="atLeast"/>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50" w:lineRule="exact"/>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10</w:t>
            </w:r>
          </w:p>
        </w:tc>
        <w:tc>
          <w:tcPr>
            <w:tcW w:w="20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50" w:lineRule="exact"/>
              <w:jc w:val="center"/>
              <w:textAlignment w:val="auto"/>
              <w:rPr>
                <w:rFonts w:hint="eastAsia" w:ascii="仿宋" w:hAnsi="仿宋" w:eastAsia="仿宋" w:cs="仿宋"/>
                <w:sz w:val="28"/>
                <w:szCs w:val="28"/>
                <w:lang w:eastAsia="zh-CN"/>
              </w:rPr>
            </w:pPr>
            <w:r>
              <w:rPr>
                <w:rFonts w:hint="eastAsia" w:ascii="仿宋" w:hAnsi="仿宋" w:eastAsia="仿宋" w:cs="仿宋"/>
                <w:b/>
                <w:bCs/>
                <w:sz w:val="28"/>
                <w:szCs w:val="28"/>
                <w:lang w:eastAsia="zh-CN"/>
              </w:rPr>
              <w:t>办学规模</w:t>
            </w:r>
          </w:p>
        </w:tc>
        <w:tc>
          <w:tcPr>
            <w:tcW w:w="8175" w:type="dxa"/>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exact"/>
              <w:ind w:right="454" w:firstLine="280" w:firstLineChars="1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围绕学校十四五期间办学总体目标，根据上级有关政策性要求、学校办学条件、学科专业建设目标、发展潜力和社会形势发展等需要，开展“十四五”期间办学规模预测与可行性分析调研。</w:t>
            </w:r>
          </w:p>
        </w:tc>
        <w:tc>
          <w:tcPr>
            <w:tcW w:w="25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50" w:lineRule="exact"/>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招生就业处</w:t>
            </w:r>
          </w:p>
          <w:p>
            <w:pPr>
              <w:keepNext w:val="0"/>
              <w:keepLines w:val="0"/>
              <w:pageBreakBefore w:val="0"/>
              <w:widowControl w:val="0"/>
              <w:kinsoku/>
              <w:wordWrap/>
              <w:overflowPunct/>
              <w:topLinePunct w:val="0"/>
              <w:autoSpaceDE/>
              <w:autoSpaceDN/>
              <w:bidi w:val="0"/>
              <w:adjustRightInd/>
              <w:snapToGrid/>
              <w:spacing w:line="450" w:lineRule="exact"/>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教务处</w:t>
            </w:r>
          </w:p>
        </w:tc>
      </w:tr>
    </w:tbl>
    <w:p>
      <w:pPr>
        <w:keepNext w:val="0"/>
        <w:keepLines w:val="0"/>
        <w:pageBreakBefore w:val="0"/>
        <w:kinsoku/>
        <w:wordWrap/>
        <w:overflowPunct/>
        <w:topLinePunct w:val="0"/>
        <w:autoSpaceDE/>
        <w:autoSpaceDN/>
        <w:bidi w:val="0"/>
        <w:adjustRightInd/>
        <w:snapToGrid/>
        <w:spacing w:line="450" w:lineRule="exact"/>
        <w:textAlignment w:val="auto"/>
      </w:pPr>
    </w:p>
    <w:p>
      <w:pPr>
        <w:keepNext w:val="0"/>
        <w:keepLines w:val="0"/>
        <w:pageBreakBefore w:val="0"/>
        <w:kinsoku/>
        <w:wordWrap/>
        <w:overflowPunct/>
        <w:topLinePunct w:val="0"/>
        <w:autoSpaceDE/>
        <w:autoSpaceDN/>
        <w:bidi w:val="0"/>
        <w:adjustRightInd/>
        <w:snapToGrid/>
        <w:spacing w:line="450" w:lineRule="exact"/>
        <w:textAlignment w:val="auto"/>
      </w:pPr>
    </w:p>
    <w:p>
      <w:pPr>
        <w:keepNext w:val="0"/>
        <w:keepLines w:val="0"/>
        <w:pageBreakBefore w:val="0"/>
        <w:kinsoku/>
        <w:wordWrap/>
        <w:overflowPunct/>
        <w:topLinePunct w:val="0"/>
        <w:autoSpaceDE/>
        <w:autoSpaceDN/>
        <w:bidi w:val="0"/>
        <w:adjustRightInd/>
        <w:snapToGrid/>
        <w:spacing w:line="450" w:lineRule="exact"/>
        <w:textAlignment w:val="auto"/>
      </w:pPr>
    </w:p>
    <w:p>
      <w:pPr>
        <w:keepNext w:val="0"/>
        <w:keepLines w:val="0"/>
        <w:pageBreakBefore w:val="0"/>
        <w:kinsoku/>
        <w:wordWrap/>
        <w:overflowPunct/>
        <w:topLinePunct w:val="0"/>
        <w:autoSpaceDE/>
        <w:autoSpaceDN/>
        <w:bidi w:val="0"/>
        <w:adjustRightInd/>
        <w:snapToGrid/>
        <w:spacing w:line="450" w:lineRule="exact"/>
        <w:textAlignment w:val="auto"/>
      </w:pPr>
    </w:p>
    <w:p>
      <w:pPr>
        <w:keepNext w:val="0"/>
        <w:keepLines w:val="0"/>
        <w:pageBreakBefore w:val="0"/>
        <w:kinsoku/>
        <w:wordWrap/>
        <w:overflowPunct/>
        <w:topLinePunct w:val="0"/>
        <w:autoSpaceDE/>
        <w:autoSpaceDN/>
        <w:bidi w:val="0"/>
        <w:adjustRightInd/>
        <w:snapToGrid/>
        <w:spacing w:line="450" w:lineRule="exact"/>
        <w:textAlignment w:val="auto"/>
      </w:pPr>
    </w:p>
    <w:p>
      <w:pPr>
        <w:keepNext w:val="0"/>
        <w:keepLines w:val="0"/>
        <w:pageBreakBefore w:val="0"/>
        <w:kinsoku/>
        <w:wordWrap/>
        <w:overflowPunct/>
        <w:topLinePunct w:val="0"/>
        <w:autoSpaceDE/>
        <w:autoSpaceDN/>
        <w:bidi w:val="0"/>
        <w:adjustRightInd/>
        <w:snapToGrid/>
        <w:spacing w:line="450" w:lineRule="exact"/>
        <w:textAlignment w:val="auto"/>
        <w:sectPr>
          <w:pgSz w:w="16838" w:h="11906" w:orient="landscape"/>
          <w:pgMar w:top="1800" w:right="1440" w:bottom="1800" w:left="1440" w:header="851" w:footer="992" w:gutter="0"/>
          <w:cols w:space="425" w:num="1"/>
          <w:docGrid w:type="lines" w:linePitch="312" w:charSpace="0"/>
        </w:sectPr>
      </w:pPr>
    </w:p>
    <w:p>
      <w:pPr>
        <w:keepNext w:val="0"/>
        <w:keepLines w:val="0"/>
        <w:pageBreakBefore w:val="0"/>
        <w:numPr>
          <w:ilvl w:val="0"/>
          <w:numId w:val="0"/>
        </w:numPr>
        <w:kinsoku/>
        <w:wordWrap/>
        <w:overflowPunct/>
        <w:topLinePunct w:val="0"/>
        <w:autoSpaceDE/>
        <w:autoSpaceDN/>
        <w:bidi w:val="0"/>
        <w:adjustRightInd/>
        <w:snapToGrid/>
        <w:spacing w:line="520" w:lineRule="exact"/>
        <w:jc w:val="left"/>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附件2</w:t>
      </w:r>
    </w:p>
    <w:p>
      <w:pPr>
        <w:keepNext w:val="0"/>
        <w:keepLines w:val="0"/>
        <w:pageBreakBefore w:val="0"/>
        <w:numPr>
          <w:ilvl w:val="0"/>
          <w:numId w:val="0"/>
        </w:numPr>
        <w:kinsoku/>
        <w:wordWrap/>
        <w:overflowPunct/>
        <w:topLinePunct w:val="0"/>
        <w:autoSpaceDE/>
        <w:autoSpaceDN/>
        <w:bidi w:val="0"/>
        <w:adjustRightInd/>
        <w:snapToGrid/>
        <w:spacing w:line="520" w:lineRule="exact"/>
        <w:jc w:val="center"/>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信阳农林学院“十四五”规划前期调研报告提纲</w:t>
      </w:r>
    </w:p>
    <w:p>
      <w:pPr>
        <w:pStyle w:val="2"/>
        <w:spacing w:before="8"/>
        <w:ind w:left="0"/>
        <w:rPr>
          <w:rFonts w:hint="eastAsia" w:ascii="仿宋" w:hAnsi="仿宋" w:eastAsia="仿宋" w:cs="仿宋"/>
          <w:sz w:val="30"/>
          <w:szCs w:val="30"/>
        </w:rPr>
      </w:pPr>
    </w:p>
    <w:p>
      <w:pPr>
        <w:pStyle w:val="2"/>
        <w:ind w:firstLine="301" w:firstLineChars="100"/>
        <w:rPr>
          <w:rFonts w:hint="eastAsia" w:ascii="仿宋" w:hAnsi="仿宋" w:eastAsia="仿宋" w:cs="仿宋"/>
          <w:b/>
          <w:bCs/>
          <w:kern w:val="2"/>
          <w:sz w:val="30"/>
          <w:szCs w:val="30"/>
          <w:lang w:val="en-US" w:eastAsia="zh-CN" w:bidi="ar-SA"/>
        </w:rPr>
      </w:pPr>
      <w:r>
        <w:rPr>
          <w:rFonts w:hint="eastAsia" w:ascii="仿宋" w:hAnsi="仿宋" w:eastAsia="仿宋" w:cs="仿宋"/>
          <w:b/>
          <w:bCs/>
          <w:kern w:val="2"/>
          <w:sz w:val="30"/>
          <w:szCs w:val="30"/>
          <w:lang w:val="en-US" w:eastAsia="zh-CN" w:bidi="ar-SA"/>
        </w:rPr>
        <w:t>职能部门：</w:t>
      </w:r>
    </w:p>
    <w:p>
      <w:pPr>
        <w:pStyle w:val="2"/>
        <w:spacing w:before="200"/>
        <w:jc w:val="center"/>
        <w:rPr>
          <w:rFonts w:hint="eastAsia" w:ascii="仿宋" w:hAnsi="仿宋" w:eastAsia="仿宋" w:cs="仿宋"/>
          <w:b/>
          <w:bCs/>
          <w:kern w:val="2"/>
          <w:sz w:val="30"/>
          <w:szCs w:val="30"/>
          <w:lang w:val="en-US" w:eastAsia="zh-CN" w:bidi="ar-SA"/>
        </w:rPr>
      </w:pPr>
      <w:r>
        <w:rPr>
          <w:rFonts w:hint="eastAsia" w:ascii="仿宋" w:hAnsi="仿宋" w:eastAsia="仿宋" w:cs="仿宋"/>
          <w:b/>
          <w:bCs/>
          <w:kern w:val="2"/>
          <w:sz w:val="30"/>
          <w:szCs w:val="30"/>
          <w:lang w:val="en-US" w:eastAsia="zh-CN" w:bidi="ar-SA"/>
        </w:rPr>
        <w:t>信阳农林学院“十四五”期间XXXX 建设发展思路调研报告</w:t>
      </w:r>
    </w:p>
    <w:p>
      <w:pPr>
        <w:pStyle w:val="2"/>
        <w:numPr>
          <w:ilvl w:val="0"/>
          <w:numId w:val="2"/>
        </w:numPr>
        <w:ind w:firstLine="600" w:firstLineChars="200"/>
        <w:rPr>
          <w:rFonts w:hint="eastAsia" w:ascii="仿宋" w:hAnsi="仿宋" w:eastAsia="仿宋" w:cs="仿宋"/>
          <w:b w:val="0"/>
          <w:bCs w:val="0"/>
          <w:color w:val="auto"/>
          <w:sz w:val="30"/>
          <w:szCs w:val="30"/>
        </w:rPr>
      </w:pPr>
      <w:r>
        <w:rPr>
          <w:rFonts w:hint="eastAsia" w:ascii="仿宋" w:hAnsi="仿宋" w:eastAsia="仿宋" w:cs="仿宋"/>
          <w:b w:val="0"/>
          <w:bCs w:val="0"/>
          <w:color w:val="auto"/>
          <w:sz w:val="30"/>
          <w:szCs w:val="30"/>
        </w:rPr>
        <w:t>“十四五”改革发展</w:t>
      </w:r>
      <w:r>
        <w:rPr>
          <w:rFonts w:hint="eastAsia" w:ascii="仿宋" w:hAnsi="仿宋" w:eastAsia="仿宋" w:cs="仿宋"/>
          <w:b w:val="0"/>
          <w:bCs w:val="0"/>
          <w:color w:val="auto"/>
          <w:sz w:val="30"/>
          <w:szCs w:val="30"/>
          <w:lang w:eastAsia="zh-CN"/>
        </w:rPr>
        <w:t>基础与条件</w:t>
      </w:r>
      <w:r>
        <w:rPr>
          <w:rFonts w:hint="eastAsia" w:ascii="仿宋" w:hAnsi="仿宋" w:eastAsia="仿宋" w:cs="仿宋"/>
          <w:b w:val="0"/>
          <w:bCs w:val="0"/>
          <w:color w:val="auto"/>
          <w:sz w:val="30"/>
          <w:szCs w:val="30"/>
        </w:rPr>
        <w:t>，即“十三五” 改革发展的</w:t>
      </w:r>
      <w:r>
        <w:rPr>
          <w:rFonts w:hint="eastAsia" w:ascii="仿宋" w:hAnsi="仿宋" w:eastAsia="仿宋" w:cs="仿宋"/>
          <w:b w:val="0"/>
          <w:bCs w:val="0"/>
          <w:color w:val="auto"/>
          <w:sz w:val="30"/>
          <w:szCs w:val="30"/>
          <w:lang w:eastAsia="zh-CN"/>
        </w:rPr>
        <w:t>情况</w:t>
      </w:r>
      <w:r>
        <w:rPr>
          <w:rFonts w:hint="eastAsia" w:ascii="仿宋" w:hAnsi="仿宋" w:eastAsia="仿宋" w:cs="仿宋"/>
          <w:b w:val="0"/>
          <w:bCs w:val="0"/>
          <w:color w:val="auto"/>
          <w:sz w:val="30"/>
          <w:szCs w:val="30"/>
        </w:rPr>
        <w:t>总结（主要目标任务完成情况）、“十四五”改革发展环境、趋势判断与预测、有利条件与不利因素</w:t>
      </w:r>
      <w:r>
        <w:rPr>
          <w:rFonts w:hint="eastAsia" w:ascii="仿宋" w:hAnsi="仿宋" w:eastAsia="仿宋" w:cs="仿宋"/>
          <w:b w:val="0"/>
          <w:bCs w:val="0"/>
          <w:color w:val="auto"/>
          <w:sz w:val="30"/>
          <w:szCs w:val="30"/>
          <w:lang w:eastAsia="zh-CN"/>
        </w:rPr>
        <w:t>；</w:t>
      </w:r>
    </w:p>
    <w:p>
      <w:pPr>
        <w:pStyle w:val="2"/>
        <w:numPr>
          <w:ilvl w:val="0"/>
          <w:numId w:val="0"/>
        </w:numPr>
        <w:ind w:firstLine="600" w:firstLineChars="200"/>
        <w:rPr>
          <w:rFonts w:hint="eastAsia" w:ascii="仿宋" w:hAnsi="仿宋" w:eastAsia="仿宋" w:cs="仿宋"/>
          <w:b w:val="0"/>
          <w:bCs w:val="0"/>
          <w:color w:val="auto"/>
          <w:sz w:val="30"/>
          <w:szCs w:val="30"/>
          <w:lang w:eastAsia="zh-CN"/>
        </w:rPr>
      </w:pPr>
      <w:r>
        <w:rPr>
          <w:rFonts w:hint="eastAsia" w:ascii="仿宋" w:hAnsi="仿宋" w:eastAsia="仿宋" w:cs="仿宋"/>
          <w:b w:val="0"/>
          <w:bCs w:val="0"/>
          <w:color w:val="auto"/>
          <w:sz w:val="30"/>
          <w:szCs w:val="30"/>
          <w:lang w:eastAsia="zh-CN"/>
        </w:rPr>
        <w:t>二、</w:t>
      </w:r>
      <w:r>
        <w:rPr>
          <w:rFonts w:hint="eastAsia" w:ascii="仿宋" w:hAnsi="仿宋" w:eastAsia="仿宋" w:cs="仿宋"/>
          <w:b w:val="0"/>
          <w:bCs w:val="0"/>
          <w:kern w:val="2"/>
          <w:sz w:val="30"/>
          <w:szCs w:val="30"/>
          <w:lang w:val="en-US" w:eastAsia="zh-CN" w:bidi="ar-SA"/>
        </w:rPr>
        <w:t>国内外标杆高校，同类兄弟院校的先进理念及可借鉴经验；</w:t>
      </w:r>
    </w:p>
    <w:p>
      <w:pPr>
        <w:pStyle w:val="2"/>
        <w:numPr>
          <w:ilvl w:val="0"/>
          <w:numId w:val="0"/>
        </w:numPr>
        <w:ind w:firstLine="600" w:firstLineChars="200"/>
        <w:rPr>
          <w:rFonts w:hint="eastAsia" w:ascii="仿宋" w:hAnsi="仿宋" w:eastAsia="仿宋" w:cs="仿宋"/>
          <w:b w:val="0"/>
          <w:bCs w:val="0"/>
          <w:color w:val="auto"/>
          <w:sz w:val="30"/>
          <w:szCs w:val="30"/>
        </w:rPr>
      </w:pPr>
      <w:r>
        <w:rPr>
          <w:rFonts w:hint="eastAsia" w:ascii="仿宋" w:hAnsi="仿宋" w:eastAsia="仿宋" w:cs="仿宋"/>
          <w:b w:val="0"/>
          <w:bCs w:val="0"/>
          <w:color w:val="auto"/>
          <w:sz w:val="30"/>
          <w:szCs w:val="30"/>
          <w:lang w:eastAsia="zh-CN"/>
        </w:rPr>
        <w:t>三、</w:t>
      </w:r>
      <w:r>
        <w:rPr>
          <w:rFonts w:hint="eastAsia" w:ascii="仿宋" w:hAnsi="仿宋" w:eastAsia="仿宋" w:cs="仿宋"/>
          <w:b w:val="0"/>
          <w:bCs w:val="0"/>
          <w:color w:val="auto"/>
          <w:sz w:val="30"/>
          <w:szCs w:val="30"/>
        </w:rPr>
        <w:t>“十四五” 改革发展的指导思想、基本原则；</w:t>
      </w:r>
    </w:p>
    <w:p>
      <w:pPr>
        <w:pStyle w:val="2"/>
        <w:numPr>
          <w:ilvl w:val="0"/>
          <w:numId w:val="0"/>
        </w:numPr>
        <w:ind w:firstLine="600" w:firstLineChars="200"/>
        <w:rPr>
          <w:rFonts w:hint="eastAsia" w:ascii="仿宋" w:hAnsi="仿宋" w:eastAsia="仿宋" w:cs="仿宋"/>
          <w:b w:val="0"/>
          <w:bCs w:val="0"/>
          <w:kern w:val="2"/>
          <w:sz w:val="30"/>
          <w:szCs w:val="30"/>
          <w:lang w:val="en-US" w:eastAsia="zh-CN" w:bidi="ar-SA"/>
        </w:rPr>
      </w:pPr>
      <w:r>
        <w:rPr>
          <w:rFonts w:hint="eastAsia" w:ascii="仿宋" w:hAnsi="仿宋" w:eastAsia="仿宋" w:cs="仿宋"/>
          <w:b w:val="0"/>
          <w:bCs w:val="0"/>
          <w:color w:val="auto"/>
          <w:sz w:val="30"/>
          <w:szCs w:val="30"/>
          <w:lang w:eastAsia="zh-CN"/>
        </w:rPr>
        <w:t>四、</w:t>
      </w:r>
      <w:r>
        <w:rPr>
          <w:rFonts w:hint="eastAsia" w:ascii="仿宋" w:hAnsi="仿宋" w:eastAsia="仿宋" w:cs="仿宋"/>
          <w:b w:val="0"/>
          <w:bCs w:val="0"/>
          <w:color w:val="auto"/>
          <w:sz w:val="30"/>
          <w:szCs w:val="30"/>
        </w:rPr>
        <w:t>“十四五”改革发展的主要目标和重点任务；</w:t>
      </w:r>
    </w:p>
    <w:p>
      <w:pPr>
        <w:pStyle w:val="2"/>
        <w:numPr>
          <w:ilvl w:val="0"/>
          <w:numId w:val="0"/>
        </w:numPr>
        <w:ind w:firstLine="600" w:firstLineChars="200"/>
        <w:rPr>
          <w:rFonts w:hint="eastAsia" w:ascii="仿宋" w:hAnsi="仿宋" w:eastAsia="仿宋" w:cs="仿宋"/>
          <w:b w:val="0"/>
          <w:bCs w:val="0"/>
          <w:kern w:val="2"/>
          <w:sz w:val="30"/>
          <w:szCs w:val="30"/>
          <w:lang w:val="en-US" w:eastAsia="zh-CN" w:bidi="ar-SA"/>
        </w:rPr>
      </w:pPr>
      <w:r>
        <w:rPr>
          <w:rFonts w:hint="eastAsia" w:ascii="仿宋" w:hAnsi="仿宋" w:eastAsia="仿宋" w:cs="仿宋"/>
          <w:b w:val="0"/>
          <w:bCs w:val="0"/>
          <w:color w:val="auto"/>
          <w:sz w:val="30"/>
          <w:szCs w:val="30"/>
          <w:lang w:eastAsia="zh-CN"/>
        </w:rPr>
        <w:t>五、</w:t>
      </w:r>
      <w:r>
        <w:rPr>
          <w:rFonts w:hint="eastAsia" w:ascii="仿宋" w:hAnsi="仿宋" w:eastAsia="仿宋" w:cs="仿宋"/>
          <w:b w:val="0"/>
          <w:bCs w:val="0"/>
          <w:color w:val="auto"/>
          <w:sz w:val="30"/>
          <w:szCs w:val="30"/>
        </w:rPr>
        <w:t>“十四五”改革发展的重</w:t>
      </w:r>
      <w:r>
        <w:rPr>
          <w:rFonts w:hint="eastAsia" w:ascii="仿宋" w:hAnsi="仿宋" w:eastAsia="仿宋" w:cs="仿宋"/>
          <w:b w:val="0"/>
          <w:bCs w:val="0"/>
          <w:color w:val="auto"/>
          <w:sz w:val="30"/>
          <w:szCs w:val="30"/>
          <w:lang w:eastAsia="zh-CN"/>
        </w:rPr>
        <w:t>要</w:t>
      </w:r>
      <w:r>
        <w:rPr>
          <w:rFonts w:hint="eastAsia" w:ascii="仿宋" w:hAnsi="仿宋" w:eastAsia="仿宋" w:cs="仿宋"/>
          <w:b w:val="0"/>
          <w:bCs w:val="0"/>
          <w:color w:val="auto"/>
          <w:sz w:val="30"/>
          <w:szCs w:val="30"/>
        </w:rPr>
        <w:t>举措；</w:t>
      </w:r>
    </w:p>
    <w:p>
      <w:pPr>
        <w:pStyle w:val="2"/>
        <w:numPr>
          <w:ilvl w:val="0"/>
          <w:numId w:val="0"/>
        </w:numPr>
        <w:ind w:firstLine="600" w:firstLineChars="200"/>
        <w:rPr>
          <w:rFonts w:hint="eastAsia" w:ascii="仿宋" w:hAnsi="仿宋" w:eastAsia="仿宋" w:cs="仿宋"/>
          <w:b/>
          <w:bCs/>
          <w:kern w:val="2"/>
          <w:sz w:val="30"/>
          <w:szCs w:val="30"/>
          <w:lang w:val="en-US" w:eastAsia="zh-CN" w:bidi="ar-SA"/>
        </w:rPr>
      </w:pPr>
      <w:r>
        <w:rPr>
          <w:rFonts w:hint="eastAsia" w:ascii="仿宋" w:hAnsi="仿宋" w:eastAsia="仿宋" w:cs="仿宋"/>
          <w:b w:val="0"/>
          <w:bCs w:val="0"/>
          <w:color w:val="auto"/>
          <w:sz w:val="30"/>
          <w:szCs w:val="30"/>
          <w:lang w:eastAsia="zh-CN"/>
        </w:rPr>
        <w:t>六、</w:t>
      </w:r>
      <w:r>
        <w:rPr>
          <w:rFonts w:hint="eastAsia" w:ascii="仿宋" w:hAnsi="仿宋" w:eastAsia="仿宋" w:cs="仿宋"/>
          <w:b w:val="0"/>
          <w:bCs w:val="0"/>
          <w:color w:val="auto"/>
          <w:sz w:val="30"/>
          <w:szCs w:val="30"/>
        </w:rPr>
        <w:t>“十四五”改革发展的条件保障</w:t>
      </w:r>
      <w:r>
        <w:rPr>
          <w:rFonts w:hint="eastAsia" w:ascii="仿宋" w:hAnsi="仿宋" w:eastAsia="仿宋" w:cs="仿宋"/>
          <w:b w:val="0"/>
          <w:bCs w:val="0"/>
          <w:color w:val="auto"/>
          <w:sz w:val="30"/>
          <w:szCs w:val="30"/>
          <w:lang w:eastAsia="zh-CN"/>
        </w:rPr>
        <w:t>。</w:t>
      </w:r>
    </w:p>
    <w:p>
      <w:pPr>
        <w:pStyle w:val="2"/>
        <w:ind w:firstLine="301" w:firstLineChars="100"/>
        <w:rPr>
          <w:rFonts w:hint="eastAsia" w:ascii="仿宋" w:hAnsi="仿宋" w:eastAsia="仿宋" w:cs="仿宋"/>
          <w:b/>
          <w:bCs/>
          <w:kern w:val="2"/>
          <w:sz w:val="30"/>
          <w:szCs w:val="30"/>
          <w:lang w:val="en-US" w:eastAsia="zh-CN" w:bidi="ar-SA"/>
        </w:rPr>
      </w:pPr>
    </w:p>
    <w:p>
      <w:pPr>
        <w:pStyle w:val="2"/>
        <w:ind w:firstLine="301" w:firstLineChars="100"/>
        <w:rPr>
          <w:rFonts w:hint="eastAsia" w:ascii="仿宋" w:hAnsi="仿宋" w:eastAsia="仿宋" w:cs="仿宋"/>
          <w:b/>
          <w:bCs/>
          <w:kern w:val="2"/>
          <w:sz w:val="30"/>
          <w:szCs w:val="30"/>
          <w:lang w:val="en-US" w:eastAsia="zh-CN" w:bidi="ar-SA"/>
        </w:rPr>
      </w:pPr>
      <w:r>
        <w:rPr>
          <w:rFonts w:hint="eastAsia" w:ascii="仿宋" w:hAnsi="仿宋" w:eastAsia="仿宋" w:cs="仿宋"/>
          <w:b/>
          <w:bCs/>
          <w:kern w:val="2"/>
          <w:sz w:val="30"/>
          <w:szCs w:val="30"/>
          <w:lang w:val="en-US" w:eastAsia="zh-CN" w:bidi="ar-SA"/>
        </w:rPr>
        <w:t>教学单位：</w:t>
      </w:r>
    </w:p>
    <w:p>
      <w:pPr>
        <w:pStyle w:val="2"/>
        <w:spacing w:before="189" w:line="376" w:lineRule="auto"/>
        <w:ind w:right="237"/>
        <w:jc w:val="center"/>
        <w:rPr>
          <w:rFonts w:hint="eastAsia" w:ascii="仿宋" w:hAnsi="仿宋" w:eastAsia="仿宋" w:cs="仿宋"/>
          <w:b/>
          <w:bCs/>
          <w:kern w:val="2"/>
          <w:sz w:val="30"/>
          <w:szCs w:val="30"/>
          <w:lang w:val="en-US" w:eastAsia="zh-CN" w:bidi="ar-SA"/>
        </w:rPr>
      </w:pPr>
      <w:r>
        <w:rPr>
          <w:rFonts w:hint="eastAsia" w:ascii="仿宋" w:hAnsi="仿宋" w:eastAsia="仿宋" w:cs="仿宋"/>
          <w:b/>
          <w:bCs/>
          <w:kern w:val="2"/>
          <w:sz w:val="30"/>
          <w:szCs w:val="30"/>
          <w:lang w:val="en-US" w:eastAsia="zh-CN" w:bidi="ar-SA"/>
        </w:rPr>
        <w:t>信阳农林学院“十四五”期间XX 学院工作思路调研报告</w:t>
      </w:r>
    </w:p>
    <w:p>
      <w:pPr>
        <w:pStyle w:val="2"/>
        <w:spacing w:line="374" w:lineRule="auto"/>
        <w:ind w:right="113" w:firstLine="600" w:firstLineChars="200"/>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一、学院建设现状、形势分析及影响未来发展的主要问题；</w:t>
      </w:r>
    </w:p>
    <w:p>
      <w:pPr>
        <w:pStyle w:val="2"/>
        <w:ind w:firstLine="600" w:firstLineChars="200"/>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二、“十四五”时期重点发展方向；</w:t>
      </w:r>
    </w:p>
    <w:p>
      <w:pPr>
        <w:pStyle w:val="2"/>
        <w:spacing w:line="417" w:lineRule="auto"/>
        <w:ind w:right="113" w:firstLine="600" w:firstLineChars="200"/>
      </w:pPr>
      <w:r>
        <w:rPr>
          <w:rFonts w:hint="eastAsia" w:ascii="仿宋" w:hAnsi="仿宋" w:eastAsia="仿宋" w:cs="仿宋"/>
          <w:kern w:val="2"/>
          <w:sz w:val="30"/>
          <w:szCs w:val="30"/>
          <w:lang w:val="en-US" w:eastAsia="zh-CN" w:bidi="ar-SA"/>
        </w:rPr>
        <w:t>三、拟采取的主要举措（学科专业建设、人才培养、人才引进、基层教学组织建设、团队建设、平台建设、产学研合作等）。</w:t>
      </w:r>
    </w:p>
    <w:p>
      <w:pPr>
        <w:rPr>
          <w:rFonts w:hint="default"/>
          <w:lang w:val="en-US" w:eastAsia="zh-CN"/>
        </w:rPr>
      </w:pPr>
    </w:p>
    <w:p/>
    <w:sectPr>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EAA9921"/>
    <w:multiLevelType w:val="singleLevel"/>
    <w:tmpl w:val="9EAA9921"/>
    <w:lvl w:ilvl="0" w:tentative="0">
      <w:start w:val="1"/>
      <w:numFmt w:val="decimal"/>
      <w:lvlText w:val="%1."/>
      <w:lvlJc w:val="left"/>
      <w:pPr>
        <w:tabs>
          <w:tab w:val="left" w:pos="312"/>
        </w:tabs>
      </w:pPr>
    </w:lvl>
  </w:abstractNum>
  <w:abstractNum w:abstractNumId="1">
    <w:nsid w:val="0801D521"/>
    <w:multiLevelType w:val="singleLevel"/>
    <w:tmpl w:val="0801D521"/>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052A73"/>
    <w:rsid w:val="74052A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qFormat/>
    <w:uiPriority w:val="1"/>
    <w:pPr>
      <w:ind w:left="120"/>
    </w:pPr>
    <w:rPr>
      <w:rFonts w:ascii="宋体" w:hAnsi="宋体" w:eastAsia="宋体" w:cs="宋体"/>
      <w:sz w:val="28"/>
      <w:szCs w:val="28"/>
      <w:lang w:val="zh-CN" w:eastAsia="zh-CN" w:bidi="zh-CN"/>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6">
    <w:name w:val="_Style 2"/>
    <w:next w:val="1"/>
    <w:qFormat/>
    <w:uiPriority w:val="0"/>
    <w:pPr>
      <w:widowControl w:val="0"/>
      <w:pBdr>
        <w:bottom w:val="single" w:color="auto" w:sz="6" w:space="1"/>
      </w:pBdr>
      <w:jc w:val="center"/>
    </w:pPr>
    <w:rPr>
      <w:rFonts w:ascii="Arial" w:hAnsi="Calibri" w:eastAsia="宋体" w:cs="Times New Roman"/>
      <w:vanish/>
      <w:kern w:val="2"/>
      <w:sz w:val="16"/>
      <w:szCs w:val="24"/>
      <w:lang w:val="en-US" w:eastAsia="zh-CN" w:bidi="ar-SA"/>
    </w:rPr>
  </w:style>
  <w:style w:type="paragraph" w:customStyle="1" w:styleId="7">
    <w:name w:val="Table Paragraph"/>
    <w:qFormat/>
    <w:uiPriority w:val="1"/>
    <w:pPr>
      <w:widowControl w:val="0"/>
      <w:jc w:val="both"/>
    </w:pPr>
    <w:rPr>
      <w:rFonts w:ascii="宋体" w:hAnsi="宋体" w:eastAsia="宋体" w:cs="宋体"/>
      <w:kern w:val="2"/>
      <w:sz w:val="21"/>
      <w:szCs w:val="24"/>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2020-10-04T01:43:00Z</dcterms:created>
  <dc:creator>Trx</dc:creator>
  <cp:lastModifiedBy>Trx</cp:lastModifiedBy>
  <dcterms:modified xsi:type="dcterms:W3CDTF">2020-10-04T01:44:20Z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