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华文行楷"/>
          <w:sz w:val="96"/>
          <w:szCs w:val="74"/>
        </w:rPr>
      </w:pPr>
    </w:p>
    <w:p>
      <w:pPr>
        <w:jc w:val="left"/>
        <w:rPr>
          <w:rFonts w:ascii="Times New Roman" w:hAnsi="Times New Roman" w:eastAsia="华文行楷"/>
          <w:sz w:val="96"/>
          <w:szCs w:val="74"/>
        </w:rPr>
      </w:pPr>
      <w:r>
        <w:drawing>
          <wp:inline distT="0" distB="0" distL="114300" distR="114300">
            <wp:extent cx="1104900" cy="102362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104900" cy="1023620"/>
                    </a:xfrm>
                    <a:prstGeom prst="rect">
                      <a:avLst/>
                    </a:prstGeom>
                    <a:noFill/>
                    <a:ln w="9525">
                      <a:noFill/>
                    </a:ln>
                  </pic:spPr>
                </pic:pic>
              </a:graphicData>
            </a:graphic>
          </wp:inline>
        </w:drawing>
      </w:r>
      <w:r>
        <w:rPr>
          <w:rFonts w:hint="eastAsia" w:ascii="Times New Roman" w:hAnsi="Times New Roman" w:eastAsia="华文行楷"/>
          <w:sz w:val="96"/>
          <w:szCs w:val="74"/>
        </w:rPr>
        <w:t>高教信息参考</w:t>
      </w:r>
    </w:p>
    <w:p>
      <w:pPr>
        <w:spacing w:line="240" w:lineRule="atLeast"/>
        <w:jc w:val="center"/>
        <w:rPr>
          <w:rFonts w:ascii="黑体" w:hAnsi="黑体" w:eastAsia="黑体" w:cs="黑体"/>
          <w:sz w:val="32"/>
          <w:szCs w:val="32"/>
        </w:rPr>
      </w:pPr>
      <w:r>
        <w:rPr>
          <w:rFonts w:hint="eastAsia" w:ascii="黑体" w:hAnsi="黑体" w:eastAsia="黑体" w:cs="黑体"/>
          <w:sz w:val="32"/>
          <w:szCs w:val="32"/>
        </w:rPr>
        <w:t xml:space="preserve">    INFORMATION REVIEW OF HIGHER EDUCATION</w:t>
      </w:r>
    </w:p>
    <w:p>
      <w:pPr>
        <w:jc w:val="center"/>
        <w:rPr>
          <w:rFonts w:ascii="Times New Roman" w:hAnsi="Times New Roman" w:eastAsia="楷体"/>
          <w:sz w:val="32"/>
          <w:szCs w:val="32"/>
        </w:rPr>
      </w:pPr>
      <w:r>
        <w:rPr>
          <w:rFonts w:ascii="Times New Roman" w:hAnsi="Times New Roman"/>
          <w:b/>
          <w:bCs/>
          <w:sz w:val="32"/>
          <w:szCs w:val="32"/>
        </w:rPr>
        <mc:AlternateContent>
          <mc:Choice Requires="wps">
            <w:drawing>
              <wp:anchor distT="0" distB="0" distL="114300" distR="114300" simplePos="0" relativeHeight="332348416" behindDoc="0" locked="0" layoutInCell="1" allowOverlap="1">
                <wp:simplePos x="0" y="0"/>
                <wp:positionH relativeFrom="column">
                  <wp:posOffset>-68580</wp:posOffset>
                </wp:positionH>
                <wp:positionV relativeFrom="paragraph">
                  <wp:posOffset>344170</wp:posOffset>
                </wp:positionV>
                <wp:extent cx="5997575" cy="635"/>
                <wp:effectExtent l="0" t="10160" r="3175" b="46355"/>
                <wp:wrapNone/>
                <wp:docPr id="1" name="自选图形 2"/>
                <wp:cNvGraphicFramePr/>
                <a:graphic xmlns:a="http://schemas.openxmlformats.org/drawingml/2006/main">
                  <a:graphicData uri="http://schemas.microsoft.com/office/word/2010/wordprocessingShape">
                    <wps:wsp>
                      <wps:cNvCnPr/>
                      <wps:spPr>
                        <a:xfrm>
                          <a:off x="0" y="0"/>
                          <a:ext cx="5997575" cy="635"/>
                        </a:xfrm>
                        <a:prstGeom prst="straightConnector1">
                          <a:avLst/>
                        </a:prstGeom>
                        <a:ln w="635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5.4pt;margin-top:27.1pt;height:0.05pt;width:472.25pt;z-index:332348416;mso-width-relative:page;mso-height-relative:page;" filled="f" stroked="t" coordsize="21600,21600" o:gfxdata="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EH6tcAAAAJAQAA&#10;DwAAAAAAAAABACAAAAAiAAAAZHJzL2Rvd25yZXYueG1sUEsBAhQAFAAAAAgAh07iQPK6SZfhAQAA&#10;pgMAAA4AAAAAAAAAAQAgAAAAJgEAAGRycy9lMm9Eb2MueG1sUEsFBgAAAAAGAAYAWQEAAHkFAAAA&#10;AA==&#10;">
                <v:fill on="f" focussize="0,0"/>
                <v:stroke weight="5pt" color="#FF0000" joinstyle="round"/>
                <v:imagedata o:title=""/>
                <o:lock v:ext="edit" aspectratio="f"/>
              </v:shape>
            </w:pict>
          </mc:Fallback>
        </mc:AlternateContent>
      </w:r>
      <w:r>
        <w:rPr>
          <w:rFonts w:ascii="Times New Roman" w:hAnsi="Times New Roman" w:eastAsia="楷体"/>
          <w:sz w:val="32"/>
          <w:szCs w:val="32"/>
        </w:rPr>
        <w:t xml:space="preserve">          </w:t>
      </w:r>
    </w:p>
    <w:p>
      <w:pPr>
        <w:jc w:val="center"/>
        <w:rPr>
          <w:rFonts w:ascii="Times New Roman" w:hAnsi="Times New Roman" w:eastAsia="楷体"/>
          <w:b/>
          <w:sz w:val="32"/>
          <w:szCs w:val="32"/>
        </w:rPr>
      </w:pPr>
      <w:r>
        <w:rPr>
          <w:rFonts w:hint="eastAsia" w:ascii="Times New Roman" w:hAnsi="Times New Roman" w:eastAsia="楷体"/>
          <w:sz w:val="32"/>
          <w:szCs w:val="32"/>
        </w:rPr>
        <w:t xml:space="preserve">    </w:t>
      </w:r>
      <w:r>
        <w:rPr>
          <w:rFonts w:hint="eastAsia" w:ascii="楷体" w:hAnsi="楷体" w:eastAsia="楷体" w:cs="楷体"/>
          <w:b/>
          <w:bCs/>
          <w:sz w:val="32"/>
          <w:szCs w:val="32"/>
        </w:rPr>
        <w:t>发展规划处(高教研究所）</w:t>
      </w:r>
      <w:r>
        <w:rPr>
          <w:rFonts w:ascii="Times New Roman" w:hAnsi="Times New Roman" w:eastAsia="楷体"/>
          <w:b/>
          <w:sz w:val="32"/>
          <w:szCs w:val="32"/>
        </w:rPr>
        <w:t>编</w:t>
      </w:r>
      <w:r>
        <w:rPr>
          <w:rFonts w:ascii="Times New Roman" w:hAnsi="Times New Roman" w:eastAsia="楷体"/>
          <w:sz w:val="32"/>
          <w:szCs w:val="32"/>
        </w:rPr>
        <w:t xml:space="preserve">   </w:t>
      </w:r>
      <w:r>
        <w:rPr>
          <w:rFonts w:ascii="Times New Roman" w:hAnsi="Times New Roman" w:eastAsia="楷体"/>
          <w:b/>
          <w:sz w:val="32"/>
          <w:szCs w:val="32"/>
        </w:rPr>
        <w:t>201</w:t>
      </w:r>
      <w:r>
        <w:rPr>
          <w:rFonts w:hint="eastAsia" w:ascii="Times New Roman" w:hAnsi="Times New Roman" w:eastAsia="楷体"/>
          <w:b/>
          <w:sz w:val="32"/>
          <w:szCs w:val="32"/>
          <w:lang w:val="en-US" w:eastAsia="zh-CN"/>
        </w:rPr>
        <w:t>8</w:t>
      </w:r>
      <w:r>
        <w:rPr>
          <w:rFonts w:ascii="Times New Roman" w:hAnsi="Times New Roman" w:eastAsia="楷体"/>
          <w:b/>
          <w:sz w:val="32"/>
          <w:szCs w:val="32"/>
        </w:rPr>
        <w:t>年</w:t>
      </w:r>
      <w:r>
        <w:rPr>
          <w:rFonts w:hint="eastAsia" w:ascii="Times New Roman" w:hAnsi="Times New Roman" w:eastAsia="楷体"/>
          <w:b/>
          <w:sz w:val="32"/>
          <w:szCs w:val="32"/>
        </w:rPr>
        <w:t>第</w:t>
      </w:r>
      <w:r>
        <w:rPr>
          <w:rFonts w:hint="eastAsia" w:ascii="Times New Roman" w:hAnsi="Times New Roman" w:eastAsia="PMingLiU"/>
          <w:b/>
          <w:sz w:val="32"/>
          <w:szCs w:val="32"/>
          <w:lang w:val="en-US" w:eastAsia="zh-TW"/>
        </w:rPr>
        <w:t>0</w:t>
      </w:r>
      <w:r>
        <w:rPr>
          <w:rFonts w:hint="eastAsia" w:ascii="Times New Roman" w:hAnsi="Times New Roman" w:eastAsia="宋体"/>
          <w:b/>
          <w:sz w:val="32"/>
          <w:szCs w:val="32"/>
          <w:lang w:val="en-US" w:eastAsia="zh-CN"/>
        </w:rPr>
        <w:t>3</w:t>
      </w:r>
      <w:r>
        <w:rPr>
          <w:rFonts w:hint="eastAsia" w:ascii="Times New Roman" w:hAnsi="Times New Roman" w:eastAsia="楷体"/>
          <w:b/>
          <w:sz w:val="32"/>
          <w:szCs w:val="32"/>
        </w:rPr>
        <w:t>期</w:t>
      </w:r>
    </w:p>
    <w:p>
      <w:pPr>
        <w:rPr>
          <w:rFonts w:ascii="Times New Roman" w:hAnsi="Times New Roman" w:eastAsia="黑体"/>
          <w:sz w:val="36"/>
          <w:szCs w:val="36"/>
        </w:rPr>
      </w:pPr>
    </w:p>
    <w:p>
      <w:pPr>
        <w:rPr>
          <w:rFonts w:ascii="Times New Roman" w:hAnsi="Times New Roman" w:eastAsia="黑体"/>
          <w:sz w:val="36"/>
          <w:szCs w:val="36"/>
        </w:rPr>
      </w:pPr>
    </w:p>
    <w:p>
      <w:pPr>
        <w:rPr>
          <w:rFonts w:ascii="Times New Roman" w:hAnsi="Times New Roman" w:eastAsia="黑体"/>
          <w:sz w:val="36"/>
          <w:szCs w:val="36"/>
        </w:rPr>
      </w:pPr>
    </w:p>
    <w:p/>
    <w:p>
      <w:pPr>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right="0" w:rightChars="0" w:firstLine="0" w:firstLineChars="0"/>
        <w:jc w:val="both"/>
        <w:textAlignment w:val="auto"/>
        <w:outlineLvl w:val="9"/>
        <w:rPr>
          <w:rFonts w:hint="eastAsia" w:ascii="Times New Roman" w:hAnsi="Times New Roman" w:eastAsia="黑体"/>
          <w:sz w:val="36"/>
          <w:szCs w:val="36"/>
        </w:rPr>
      </w:pPr>
      <w:r>
        <w:rPr>
          <w:rFonts w:hint="eastAsia" w:ascii="Times New Roman" w:hAnsi="Times New Roman" w:eastAsia="黑体"/>
          <w:sz w:val="36"/>
          <w:szCs w:val="36"/>
        </w:rPr>
        <w:t>本期导读</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科技部、教育部签署科教协同工作协议</w:t>
      </w:r>
      <w:bookmarkStart w:id="0" w:name="_Toc31592"/>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乡村振兴启示教育新使命</w:t>
      </w:r>
      <w:bookmarkEnd w:id="0"/>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安徽省着力构建服务地方产业发展应用型人才培养体系</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“西北乡村调查”为乡村振兴战略贡献“西农智慧”</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中国和美国在世界大学学术排名中居于领先地位</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Autospacing="0"/>
        <w:ind w:left="420" w:leftChars="0" w:hanging="420" w:firstLineChars="0"/>
        <w:jc w:val="both"/>
        <w:textAlignment w:val="auto"/>
        <w:outlineLvl w:val="1"/>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经典导读：多学科观点的高等教育研究</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640" w:lineRule="exact"/>
        <w:ind w:leftChars="0"/>
        <w:jc w:val="both"/>
        <w:textAlignment w:val="auto"/>
        <w:outlineLvl w:val="0"/>
        <w:rPr>
          <w:rFonts w:hint="eastAsia" w:asciiTheme="minorHAnsi" w:hAnsiTheme="minorHAnsi" w:eastAsiaTheme="minorEastAsia" w:cstheme="minorBidi"/>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0"/>
          <w:szCs w:val="40"/>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目   录</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sz w:val="40"/>
          <w:szCs w:val="40"/>
          <w:lang w:val="en-US" w:eastAsia="zh-CN"/>
        </w:rPr>
      </w:pPr>
      <w:r>
        <w:fldChar w:fldCharType="begin"/>
      </w:r>
      <w:r>
        <w:instrText xml:space="preserve"> HYPERLINK \l "_Toc24523" </w:instrText>
      </w:r>
      <w:r>
        <w:fldChar w:fldCharType="separate"/>
      </w:r>
      <w:r>
        <w:rPr>
          <w:rFonts w:hint="eastAsia"/>
          <w:b/>
          <w:bCs/>
          <w:sz w:val="32"/>
          <w:szCs w:val="32"/>
          <w:shd w:val="clear" w:color="auto" w:fill="FFFFFF"/>
        </w:rPr>
        <w:t>【政策速递】</w:t>
      </w:r>
      <w:r>
        <w:rPr>
          <w:rFonts w:hint="eastAsia"/>
          <w:b/>
          <w:bCs/>
          <w:sz w:val="32"/>
          <w:szCs w:val="32"/>
          <w:shd w:val="clear" w:color="auto" w:fill="FFFFFF"/>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_Toc26210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科技部、教育部签署科教协同工作协议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_Toc26210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_Toc26396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【高教视点】</w:t>
      </w:r>
      <w:r>
        <w:rPr>
          <w:rFonts w:hint="eastAsia"/>
          <w:b/>
          <w:bCs/>
          <w:sz w:val="32"/>
          <w:szCs w:val="32"/>
          <w:shd w:val="clear" w:color="auto" w:fill="FFFFFF"/>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_Toc24151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乡村振兴启示教育新使命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_Toc24151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地方动态】</w:t>
      </w:r>
      <w:r>
        <w:rPr>
          <w:rFonts w:hint="eastAsia"/>
          <w:b/>
          <w:bCs/>
          <w:sz w:val="32"/>
          <w:szCs w:val="32"/>
          <w:shd w:val="clear" w:color="auto" w:fill="FFFFFF"/>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_Toc11528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安徽省着力构建服务地方产业发展应用型</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_Toc4472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人才培养体系</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_Toc4472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eastAsiaTheme="minorEastAsia"/>
          <w:lang w:val="en-US" w:eastAsia="zh-CN"/>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院校风采】</w:t>
      </w:r>
      <w:r>
        <w:rPr>
          <w:rFonts w:hint="eastAsia"/>
          <w:b/>
          <w:bCs/>
          <w:sz w:val="32"/>
          <w:szCs w:val="32"/>
          <w:shd w:val="clear" w:color="auto" w:fill="FFFFFF"/>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_Toc22033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福建农林大学积极服务乡村振兴战略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_Toc22033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_Toc18489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“西北乡村调查”为乡村振兴战略贡献“西农智慧”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_Toc18489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海外来风】</w:t>
      </w:r>
      <w:r>
        <w:rPr>
          <w:rFonts w:hint="eastAsia"/>
          <w:b/>
          <w:bCs/>
          <w:sz w:val="32"/>
          <w:szCs w:val="32"/>
          <w:shd w:val="clear" w:color="auto" w:fill="FFFFFF"/>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_Toc12504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中国和美国在世界大学学术排名中居于领先地位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_Toc12504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b/>
          <w:bCs/>
          <w:sz w:val="32"/>
          <w:szCs w:val="32"/>
          <w:shd w:val="clear" w:color="auto" w:fill="FFFFFF"/>
          <w:lang w:val="en-US" w:eastAsia="zh-CN"/>
        </w:rPr>
        <w:t>【</w:t>
      </w: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经典导读】</w:t>
      </w:r>
      <w:r>
        <w:rPr>
          <w:rFonts w:hint="eastAsia"/>
          <w:b/>
          <w:bCs/>
          <w:sz w:val="32"/>
          <w:szCs w:val="32"/>
          <w:shd w:val="clear" w:color="auto" w:fill="FFFFFF"/>
          <w:lang w:val="en-US" w:eastAsia="zh-CN"/>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_Toc31973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en-US" w:eastAsia="zh-CN"/>
        </w:rPr>
        <w:t>多学科观点的高等教育研究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_Toc31973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jc w:val="both"/>
        <w:textAlignment w:val="auto"/>
        <w:rPr>
          <w:rFonts w:hint="eastAsia" w:asciiTheme="minorHAnsi" w:hAnsiTheme="minorHAnsi" w:eastAsiaTheme="minorEastAsia" w:cstheme="minorBidi"/>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jc w:val="both"/>
        <w:textAlignment w:val="auto"/>
        <w:rPr>
          <w:rFonts w:hint="eastAsia" w:asciiTheme="minorHAnsi" w:hAnsiTheme="minorHAnsi" w:eastAsiaTheme="minorEastAsia" w:cstheme="minorBidi"/>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jc w:val="both"/>
        <w:textAlignment w:val="auto"/>
        <w:rPr>
          <w:rFonts w:hint="eastAsia" w:asciiTheme="minorHAnsi" w:hAnsiTheme="minorHAnsi" w:eastAsiaTheme="minorEastAsia" w:cstheme="minorBidi"/>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jc w:val="both"/>
        <w:textAlignment w:val="auto"/>
        <w:rPr>
          <w:rFonts w:hint="eastAsia" w:asciiTheme="minorHAnsi" w:hAnsiTheme="minorHAnsi" w:eastAsiaTheme="minorEastAsia" w:cstheme="minorBidi"/>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40" w:lineRule="exact"/>
        <w:ind w:right="0" w:rightChars="0"/>
        <w:jc w:val="both"/>
        <w:textAlignment w:val="auto"/>
        <w:rPr>
          <w:rFonts w:hint="eastAsia" w:asciiTheme="minorHAnsi" w:hAnsiTheme="minorHAnsi" w:eastAsiaTheme="minorEastAsia" w:cstheme="minorBidi"/>
          <w:b w:val="0"/>
          <w:bCs/>
          <w:kern w:val="2"/>
          <w:sz w:val="32"/>
          <w:szCs w:val="32"/>
          <w:lang w:val="en-US" w:eastAsia="zh-CN" w:bidi="ar-SA"/>
        </w:rPr>
      </w:pPr>
    </w:p>
    <w:p>
      <w:pPr>
        <w:rPr>
          <w:color w:val="4B4B4B"/>
          <w:sz w:val="36"/>
          <w:szCs w:val="36"/>
          <w:shd w:val="clear" w:color="auto" w:fill="FFFFFF"/>
        </w:rPr>
        <w:sectPr>
          <w:footerReference r:id="rId4" w:type="default"/>
          <w:pgSz w:w="11906" w:h="16838"/>
          <w:pgMar w:top="1440" w:right="1800" w:bottom="1440" w:left="1800" w:header="851" w:footer="992" w:gutter="0"/>
          <w:pgNumType w:start="1"/>
          <w:cols w:space="425" w:num="1"/>
          <w:docGrid w:type="lines" w:linePitch="312" w:charSpace="0"/>
        </w:sectPr>
      </w:pPr>
    </w:p>
    <w:p>
      <w:pPr>
        <w:rPr>
          <w:color w:val="4B4B4B"/>
          <w:sz w:val="36"/>
          <w:szCs w:val="36"/>
          <w:shd w:val="clear" w:color="auto" w:fill="FFFFFF"/>
        </w:rPr>
      </w:pPr>
      <w:r>
        <w:rPr>
          <w:color w:val="4B4B4B"/>
          <w:sz w:val="36"/>
          <w:szCs w:val="36"/>
          <w:shd w:val="clear" w:color="auto" w:fill="FFFFFF"/>
        </w:rPr>
        <w:t>【</w:t>
      </w:r>
      <w:r>
        <w:rPr>
          <w:rFonts w:hint="eastAsia"/>
          <w:color w:val="4B4B4B"/>
          <w:sz w:val="36"/>
          <w:szCs w:val="36"/>
          <w:shd w:val="clear" w:color="auto" w:fill="FFFFFF"/>
          <w:lang w:eastAsia="zh-CN"/>
        </w:rPr>
        <w:t>政策</w:t>
      </w:r>
      <w:r>
        <w:rPr>
          <w:color w:val="4B4B4B"/>
          <w:sz w:val="36"/>
          <w:szCs w:val="36"/>
          <w:shd w:val="clear" w:color="auto" w:fill="FFFFFF"/>
        </w:rPr>
        <w:t>速递】</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jc w:val="center"/>
        <w:textAlignment w:val="auto"/>
        <w:outlineLvl w:val="0"/>
        <w:rPr>
          <w:sz w:val="36"/>
          <w:szCs w:val="36"/>
        </w:rPr>
      </w:pPr>
      <w:bookmarkStart w:id="1" w:name="_Toc26210"/>
      <w:r>
        <w:rPr>
          <w:sz w:val="36"/>
          <w:szCs w:val="36"/>
        </w:rPr>
        <w:t>科技部、教育部签署科教协同工作协议</w:t>
      </w:r>
      <w:bookmarkEnd w:id="1"/>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b/>
          <w:bCs/>
          <w:sz w:val="36"/>
          <w:szCs w:val="36"/>
        </w:rPr>
      </w:pPr>
      <w:r>
        <w:rPr>
          <w:b/>
          <w:bCs/>
          <w:sz w:val="36"/>
          <w:szCs w:val="36"/>
        </w:rPr>
        <w:t>建设新时代科教协同绿色通道</w:t>
      </w:r>
    </w:p>
    <w:p>
      <w:pPr>
        <w:rPr>
          <w:rFonts w:hint="eastAsia" w:asciiTheme="minorHAnsi" w:hAnsiTheme="minorHAnsi" w:eastAsiaTheme="minorEastAsia" w:cstheme="minorBidi"/>
          <w:kern w:val="0"/>
          <w:sz w:val="24"/>
          <w:szCs w:val="24"/>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为深入贯彻落实习近平总书记在两院院士大会上重要讲话精神以及关于科技创新和高等教育内涵发展的指示要求，进一步加强科教协同合作，6月11日，科技部、教育部在京召开科教协同工作会议暨高校校长座谈会，建立科教协同工作机制，研究推动高校科技创新工作，加强新时代科教协同融合。教育部党组书记、部长陈宝生，科技部党组书记、部长王志刚代表双方签署《科技部 教育部科教协同工作协议（2018—2022年）》并讲话。</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textAlignment w:val="auto"/>
        <w:outlineLvl w:val="9"/>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根据工作协议，双方将建立协同工作机制，设立科教协同领导小组，加强政策措施协调，建立高校校长座谈机制，建立完善重大政策落实机制，齐心协力落实党中央、国务院重大决策部署，共同推动督促中央科技创新重大改革政策措施在高校落地落实。支持高等教育内涵式发展，支持引导高校瞄准世界科技前沿，增强自主创新能力，充分发挥高校在基础研究、创新人才培养和经济发展新动能培育等方面的重要作用，加快推动高校科技创新和世界一流大学、一流学科建设。提供高质量的科技供给，扩大科技创新资源开放共享，重视发挥高校智库的咨询作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textAlignment w:val="auto"/>
        <w:outlineLvl w:val="9"/>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会上，北京大学、清华大学等9所高校校长围绕高校在基础研究、应用研究中作用的发挥、加速科技成果转化、健全科技人才分类评价制度等提出了意见建议。</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w:t>
      </w:r>
      <w:r>
        <w:rPr>
          <w:rFonts w:hint="eastAsia" w:cstheme="minorBidi"/>
          <w:kern w:val="0"/>
          <w:sz w:val="24"/>
          <w:szCs w:val="24"/>
          <w:lang w:val="en-US" w:eastAsia="zh-CN" w:bidi="ar"/>
        </w:rPr>
        <w:fldChar w:fldCharType="begin"/>
      </w:r>
      <w:r>
        <w:rPr>
          <w:rFonts w:hint="eastAsia" w:cstheme="minorBidi"/>
          <w:kern w:val="0"/>
          <w:sz w:val="24"/>
          <w:szCs w:val="24"/>
          <w:lang w:val="en-US" w:eastAsia="zh-CN" w:bidi="ar"/>
        </w:rPr>
        <w:instrText xml:space="preserve"> HYPERLINK "http://www.moe.gov.cn/jyb_xwfb/gzdt_gzdt/moe_1485/201806/t20180612_339345.html" </w:instrText>
      </w:r>
      <w:r>
        <w:rPr>
          <w:rFonts w:hint="eastAsia" w:cstheme="minorBidi"/>
          <w:kern w:val="0"/>
          <w:sz w:val="24"/>
          <w:szCs w:val="24"/>
          <w:lang w:val="en-US" w:eastAsia="zh-CN" w:bidi="ar"/>
        </w:rPr>
        <w:fldChar w:fldCharType="separate"/>
      </w:r>
      <w:r>
        <w:rPr>
          <w:rStyle w:val="11"/>
          <w:rFonts w:hint="eastAsia" w:cstheme="minorBidi"/>
          <w:kern w:val="0"/>
          <w:sz w:val="24"/>
          <w:szCs w:val="24"/>
          <w:lang w:val="en-US" w:eastAsia="zh-CN" w:bidi="ar"/>
        </w:rPr>
        <w:t>教育部</w:t>
      </w:r>
      <w:r>
        <w:rPr>
          <w:rFonts w:hint="eastAsia" w:cstheme="minorBidi"/>
          <w:kern w:val="0"/>
          <w:sz w:val="24"/>
          <w:szCs w:val="24"/>
          <w:lang w:val="en-US" w:eastAsia="zh-CN" w:bidi="ar"/>
        </w:rPr>
        <w:fldChar w:fldCharType="end"/>
      </w:r>
      <w:r>
        <w:rPr>
          <w:rFonts w:hint="eastAsia" w:cstheme="minorBidi"/>
          <w:kern w:val="0"/>
          <w:sz w:val="24"/>
          <w:szCs w:val="24"/>
          <w:lang w:val="en-US" w:eastAsia="zh-CN" w:bidi="ar"/>
        </w:rPr>
        <w:t>，2018年6月12日）</w:t>
      </w:r>
      <w:bookmarkStart w:id="9" w:name="_GoBack"/>
      <w:bookmarkEnd w:id="9"/>
    </w:p>
    <w:p>
      <w:pPr>
        <w:keepNext w:val="0"/>
        <w:keepLines w:val="0"/>
        <w:pageBreakBefore w:val="0"/>
        <w:kinsoku/>
        <w:wordWrap/>
        <w:overflowPunct/>
        <w:topLinePunct w:val="0"/>
        <w:autoSpaceDE/>
        <w:autoSpaceDN/>
        <w:bidi w:val="0"/>
        <w:adjustRightInd/>
        <w:snapToGrid/>
        <w:spacing w:line="460" w:lineRule="exact"/>
        <w:textAlignment w:val="auto"/>
        <w:outlineLvl w:val="9"/>
        <w:rPr>
          <w:rFonts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http://www.moe.gov.cn/jyb_xwfb/gzdt_gzdt/moe_1485/201806/t20180612_339345.html</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asciiTheme="minorHAnsi" w:hAnsiTheme="minorHAnsi" w:eastAsiaTheme="minorEastAsia" w:cstheme="minorBidi"/>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asciiTheme="minorHAnsi" w:hAnsiTheme="minorHAnsi" w:eastAsiaTheme="minorEastAsia" w:cstheme="minorBidi"/>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460" w:lineRule="exact"/>
        <w:textAlignment w:val="auto"/>
        <w:outlineLvl w:val="9"/>
        <w:rPr>
          <w:rFonts w:asciiTheme="minorHAnsi" w:hAnsiTheme="minorHAnsi" w:eastAsiaTheme="minorEastAsia" w:cstheme="minorBidi"/>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460" w:lineRule="exact"/>
        <w:textAlignment w:val="auto"/>
        <w:outlineLvl w:val="9"/>
      </w:pPr>
    </w:p>
    <w:p>
      <w:pPr>
        <w:keepNext w:val="0"/>
        <w:keepLines w:val="0"/>
        <w:pageBreakBefore w:val="0"/>
        <w:kinsoku/>
        <w:wordWrap/>
        <w:overflowPunct/>
        <w:topLinePunct w:val="0"/>
        <w:autoSpaceDE/>
        <w:autoSpaceDN/>
        <w:bidi w:val="0"/>
        <w:adjustRightInd/>
        <w:snapToGrid/>
        <w:spacing w:line="420" w:lineRule="exact"/>
        <w:textAlignment w:val="auto"/>
        <w:outlineLvl w:val="9"/>
      </w:pPr>
    </w:p>
    <w:p>
      <w:pPr>
        <w:rPr>
          <w:color w:val="4B4B4B"/>
          <w:sz w:val="36"/>
          <w:szCs w:val="36"/>
          <w:shd w:val="clear" w:color="auto" w:fill="FFFFFF"/>
        </w:rPr>
      </w:pPr>
      <w:r>
        <w:rPr>
          <w:color w:val="4B4B4B"/>
          <w:sz w:val="36"/>
          <w:szCs w:val="36"/>
          <w:shd w:val="clear" w:color="auto" w:fill="FFFFFF"/>
        </w:rPr>
        <w:t>【</w:t>
      </w:r>
      <w:r>
        <w:rPr>
          <w:rFonts w:hint="eastAsia"/>
          <w:color w:val="4B4B4B"/>
          <w:sz w:val="36"/>
          <w:szCs w:val="36"/>
          <w:shd w:val="clear" w:color="auto" w:fill="FFFFFF"/>
          <w:lang w:eastAsia="zh-CN"/>
        </w:rPr>
        <w:t>高教视点</w:t>
      </w:r>
      <w:r>
        <w:rPr>
          <w:color w:val="4B4B4B"/>
          <w:sz w:val="36"/>
          <w:szCs w:val="36"/>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outlineLvl w:val="0"/>
        <w:rPr>
          <w:rFonts w:hint="eastAsia"/>
          <w:lang w:val="en-US" w:eastAsia="zh-CN"/>
        </w:rPr>
      </w:pPr>
      <w:r>
        <w:rPr>
          <w:rFonts w:hint="eastAsia"/>
          <w:color w:val="4B4B4B"/>
          <w:sz w:val="36"/>
          <w:szCs w:val="36"/>
          <w:shd w:val="clear" w:color="auto" w:fill="FFFFFF"/>
          <w:lang w:val="en-US" w:eastAsia="zh-CN"/>
        </w:rPr>
        <w:t xml:space="preserve">  </w:t>
      </w:r>
      <w:bookmarkStart w:id="2" w:name="_Toc24151"/>
      <w:r>
        <w:rPr>
          <w:rFonts w:hint="eastAsia" w:ascii="宋体" w:hAnsi="宋体" w:eastAsia="宋体" w:cs="宋体"/>
          <w:b/>
          <w:kern w:val="0"/>
          <w:sz w:val="36"/>
          <w:szCs w:val="36"/>
          <w:lang w:val="en-US" w:eastAsia="zh-CN" w:bidi="ar"/>
        </w:rPr>
        <w:t>乡村振兴启示教育新使命</w:t>
      </w:r>
      <w:bookmarkEnd w:id="2"/>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乡村振兴是一个长期战略，涉及农村经济建设、社会建设、文化建设、生态文明建设和党的建设，面对相当复杂和繁重的任务，没有农村各类人才队伍的支撑，乡村振兴是无法实现的。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outlineLvl w:val="9"/>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院校教育与乡村结构性人才需求差距明显</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乡村振兴计划需要各类农村人才，包括实用型人才、专业型人才、创新型人才、组织型人才和综合型人才。其中，实用型人才有种植、养殖、运输、加工能手，还有经营、农技推广、传统工艺等方面；专业人才有教育、卫生、科技、文化、环境保护、规划、法律等方面；组织型人才有农村基层组织、农民专业合作组织、农村社会组织等方面。但是，我国农村不仅严重缺乏专业型人才，尤其是缺乏建设规划、环境保护、历史文化、法律法规等方面的中高级专业人员，而且实用型人才大多集中在农业生产领域，主要集中在种植、养殖等生产领域，技能推广、市场营销等人才不足。另外，创新性、组织型和综合性人才更是缺乏。可以说，我国农村人才结构不合理、不均衡分布情况，严重地影响了农村各项事业的发展，也与乡村振兴的目标和要求存在着相当大差距。</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从农村人才培养来看，许多方面亟待改进和完善。首先，我国地方院校尤其是应用型大学，在师资力量、课程设置、教学方式和社会实践等方面，与乡村振兴目标和农村需求存在很大差距。一些地方大学的校长、院长和系主任，并不真正关注“三农”工作，不少教师并不真正了解农村和农业，他们更多关心的是学校能否进入更高层次教学评估，学院是否能够获得研究生学位授予权。这种指导思想必然与实施乡村振兴的需要不一致。有些院校的课程设置和教材内容较为陈旧，未能将我国农村社会的新变化、新发展、新需求和新知识编入教材。一些老师习惯于学院式教学，不能够将生产实践内容及时编入教材，也不愿意在课堂中补充现实内容，习惯于多年使用一本教材、一套教案。这在一定程度上导致部分院校教学与社会需求脱节，尤其是脱离农村和农业发展现实。</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outlineLvl w:val="9"/>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完善教育培训体系，培养乡村振兴急需人才</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实现乡村振兴的宏伟蓝图，就得破解农村人才缺乏的难题。一方面要通过引进人才的途径，发挥社会主义制度的优越性，实施城乡统筹发展政策，形成外来人才支持乡村振兴；另一方面，要编制本地区农村人才培养培训计划，包括地方院校、职业教育、专业培训、职业培训等，壮大农村人才队伍成为乡村振兴的有力支撑。</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根据教育部深化产教融合的要求，地方大学特别是应用型大学应加快改革步伐，增强师生为“三农”服务意识，调整学科专业设置，拓展开门办学理念，增加农业生产和经济类实用型课程，增加实验教学环节，加强大学生的素质培养和就业能力。有条件的院校应与社会力量联合，举办有关应用型分校，主动适应和支持乡村振兴的人才需求。地方高中和中等职业学校要适应形势发展，增设实用性农业技术和农业经济课程，以及适合农村经济社会发展的其他课程，包括农村工业、文化、社会、建筑、规划、法律、旅游等方面，为乡村振兴培养农村青年人才队伍。</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按照各地乡村振兴战略实施意见，地方政府应制定有针对性、专业性和实效性的涉农培训计划。加强对农村人才培训的统筹管理，整合使用来自中组部、扶贫办、农业部、财政部、科技部等国家部委的有关培训资金，提高职业教育和培训资金的使用效益，加强对民间人才机构和培训学校的整合调整；发挥中华职业教育社、中国科学院、中国社会科学院、国家重点大学和优质职业院校的骨干带头作用，引入优质教师资源充实地方培训力量；调动地方院校的积极性，根据县、乡（镇）、村的实际需要，实施智力扶贫援助计划，对农村地区进行对口培训，增强农村人才队伍。</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发挥地方人才资源，更多为“三农”服务。在农村人才缺乏的同时，县直机关和事业单位可能存在服务不足的问题。与“三农”关系密切的单位应增强服务意识，县直机关包括农业局、科技局、教育局、规划局、环保局、卫生局等部门，要更多地为农村提供专业技术支持。应考虑大力恢复或重建对农业生产影响较大的农业技术推广体系；农委、农工部应组织农民学习农产品市场信息分析技术；县级职教中心应组织人员，定期下乡为农民服务。</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要实现乡村振兴，须有人才作支撑。一方面，要吸引外来人才进入农村；另一方面，加紧培养理论联系实际的人才后备队伍；同时，要挖掘现有的县域人才资源并充分发挥其作用。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（来源：光明日报，2018年8月4日）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textAlignment w:val="auto"/>
        <w:outlineLvl w:val="9"/>
      </w:pPr>
      <w:r>
        <w:rPr>
          <w:rFonts w:hint="eastAsia" w:cstheme="minorBidi"/>
          <w:kern w:val="0"/>
          <w:sz w:val="24"/>
          <w:szCs w:val="24"/>
          <w:lang w:val="en-US" w:eastAsia="zh-CN" w:bidi="ar"/>
        </w:rPr>
        <w:t xml:space="preserve"> http://news.gmw.cn/2018-08/02/content_30252032.htm</w:t>
      </w:r>
    </w:p>
    <w:p>
      <w:pPr>
        <w:rPr>
          <w:color w:val="4B4B4B"/>
          <w:sz w:val="36"/>
          <w:szCs w:val="36"/>
          <w:shd w:val="clear" w:color="auto" w:fill="FFFFFF"/>
        </w:rPr>
      </w:pPr>
    </w:p>
    <w:p>
      <w:r>
        <w:rPr>
          <w:color w:val="4B4B4B"/>
          <w:sz w:val="36"/>
          <w:szCs w:val="36"/>
          <w:shd w:val="clear" w:color="auto" w:fill="FFFFFF"/>
        </w:rPr>
        <w:t>【</w:t>
      </w:r>
      <w:r>
        <w:rPr>
          <w:rFonts w:hint="eastAsia"/>
          <w:color w:val="4B4B4B"/>
          <w:sz w:val="36"/>
          <w:szCs w:val="36"/>
          <w:shd w:val="clear" w:color="auto" w:fill="FFFFFF"/>
          <w:lang w:eastAsia="zh-CN"/>
        </w:rPr>
        <w:t>地方动态</w:t>
      </w:r>
      <w:r>
        <w:rPr>
          <w:color w:val="4B4B4B"/>
          <w:sz w:val="36"/>
          <w:szCs w:val="36"/>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55" w:lineRule="atLeast"/>
        <w:ind w:left="0" w:right="0" w:firstLine="0"/>
        <w:jc w:val="center"/>
        <w:textAlignment w:val="auto"/>
        <w:outlineLvl w:val="0"/>
        <w:rPr>
          <w:rFonts w:hint="eastAsia" w:ascii="宋体" w:hAnsi="宋体" w:eastAsia="宋体" w:cs="宋体"/>
          <w:b/>
          <w:kern w:val="0"/>
          <w:sz w:val="36"/>
          <w:szCs w:val="36"/>
          <w:lang w:val="en-US" w:eastAsia="zh-CN" w:bidi="ar"/>
        </w:rPr>
      </w:pPr>
      <w:bookmarkStart w:id="3" w:name="_Toc11528"/>
      <w:r>
        <w:rPr>
          <w:rFonts w:hint="eastAsia" w:ascii="宋体" w:hAnsi="宋体" w:eastAsia="宋体" w:cs="宋体"/>
          <w:b/>
          <w:kern w:val="0"/>
          <w:sz w:val="36"/>
          <w:szCs w:val="36"/>
          <w:lang w:val="en-US" w:eastAsia="zh-CN" w:bidi="ar"/>
        </w:rPr>
        <w:t>安徽省着力构建服务地方产业发展应用型</w:t>
      </w:r>
      <w:bookmarkEnd w:id="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宋体" w:hAnsi="宋体" w:eastAsia="宋体" w:cs="宋体"/>
          <w:b/>
          <w:kern w:val="0"/>
          <w:sz w:val="36"/>
          <w:szCs w:val="36"/>
          <w:lang w:val="en-US" w:eastAsia="zh-CN" w:bidi="ar"/>
        </w:rPr>
      </w:pPr>
      <w:bookmarkStart w:id="4" w:name="_Toc4472"/>
      <w:r>
        <w:rPr>
          <w:rFonts w:hint="eastAsia" w:ascii="宋体" w:hAnsi="宋体" w:eastAsia="宋体" w:cs="宋体"/>
          <w:b/>
          <w:kern w:val="0"/>
          <w:sz w:val="36"/>
          <w:szCs w:val="36"/>
          <w:lang w:val="en-US" w:eastAsia="zh-CN" w:bidi="ar"/>
        </w:rPr>
        <w:t>人才培养体系</w:t>
      </w:r>
      <w:bookmarkEnd w:id="4"/>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安徽省按照“科学定位、分类指导、多元发展、特色办学”的发展思路和“地方性、应用型、合作式、一体化”的发展模式，主动服务省域产业发展，构建高等学校应用型人才培养体系。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明确应用型办学定位。</w:t>
      </w:r>
      <w:r>
        <w:rPr>
          <w:rFonts w:hint="eastAsia" w:asciiTheme="minorHAnsi" w:hAnsiTheme="minorHAnsi" w:eastAsiaTheme="minorEastAsia" w:cstheme="minorBidi"/>
          <w:kern w:val="0"/>
          <w:sz w:val="24"/>
          <w:szCs w:val="24"/>
          <w:lang w:val="en-US" w:eastAsia="zh-CN" w:bidi="ar"/>
        </w:rPr>
        <w:t>出台关于建设高等教育强省的若干意见，明确提出构建安徽特色应用性高等教育体系。开展应用型高校建设改革试点工作，遴选“示范应用型本科高校”，探索建设方法和路径。立项建设9所地方应用型高水平大学，并将应用型高校建设作为省委对高校领导班子综合考核的重要内容。近3年投入3.4亿元重点建设128个应用型新专业，每年投入1.5亿元重点支持建设18个应用型学科。每年发布专门报告，将应用型学科专业建设情况作为编制招生计划的重要指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深化应用型人才培养模式改革。</w:t>
      </w:r>
      <w:r>
        <w:rPr>
          <w:rFonts w:hint="eastAsia" w:asciiTheme="minorHAnsi" w:hAnsiTheme="minorHAnsi" w:eastAsiaTheme="minorEastAsia" w:cstheme="minorBidi"/>
          <w:kern w:val="0"/>
          <w:sz w:val="24"/>
          <w:szCs w:val="24"/>
          <w:lang w:val="en-US" w:eastAsia="zh-CN" w:bidi="ar"/>
        </w:rPr>
        <w:t>实施能力导向的应用型模块化课程改革，把握产业发展对应用型人才知识、能力和素质的迫切需求，确定相应专业核心能力，推动高校与企业合作开发应用型课程，形成层层递进、相互支撑的模块化课程体系，探索制定应用型人才培养标准、专业标准、课程标准和高校标准。构建校企协同育人机制，建立紧缺人才培养基地和联合培养机制，立项建设600多个校企合作实践教育基地、260多个产学研用合作联盟、300多个省级实习实训基地。深化校校协同，成立安徽省和长三角地区应用型高校联盟，推动高校共建学科专业，共享优质资源，共商办学标准。强化国际协同，推动中德教育合作示范基地建</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以项目和学科竞赛为抓手推动创新创业教育</w:t>
      </w:r>
      <w:r>
        <w:rPr>
          <w:rFonts w:hint="eastAsia" w:cstheme="minorBidi"/>
          <w:kern w:val="0"/>
          <w:sz w:val="24"/>
          <w:szCs w:val="24"/>
          <w:lang w:val="en-US" w:eastAsia="zh-CN" w:bidi="ar"/>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构建应用型人才培养评价和质量保障机制。</w:t>
      </w:r>
      <w:r>
        <w:rPr>
          <w:rFonts w:hint="eastAsia" w:asciiTheme="minorHAnsi" w:hAnsiTheme="minorHAnsi" w:eastAsiaTheme="minorEastAsia" w:cstheme="minorBidi"/>
          <w:kern w:val="0"/>
          <w:sz w:val="24"/>
          <w:szCs w:val="24"/>
          <w:lang w:val="en-US" w:eastAsia="zh-CN" w:bidi="ar"/>
        </w:rPr>
        <w:t>积极推进评价机制改革，以学习过程、应用能力和毕业设计能力为核心，转变学生评价机制，建设应用型人才培养质量监控体系。建立教师分类管理制度，培养教师的应用型人才培养能力和产学研合作能力。推行教学管理制度改革，适应应用型人才培养需要，在全省新建本科高校推行学生自由转学转专业、学分互认和跨校主辅修、实践小学期制。建设应用型师资队伍，实施本科高校编制周转池制度，建设30多个教师能力发展中心，开展“双师双能型”教师认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240" w:firstLineChars="100"/>
        <w:textAlignment w:val="auto"/>
        <w:outlineLvl w:val="9"/>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（来源：教育部，2018年08月14日）</w:t>
      </w:r>
    </w:p>
    <w:p>
      <w:pPr>
        <w:keepNext w:val="0"/>
        <w:keepLines w:val="0"/>
        <w:pageBreakBefore w:val="0"/>
        <w:kinsoku/>
        <w:wordWrap/>
        <w:overflowPunct/>
        <w:topLinePunct w:val="0"/>
        <w:autoSpaceDE/>
        <w:autoSpaceDN/>
        <w:bidi w:val="0"/>
        <w:adjustRightInd/>
        <w:snapToGrid/>
        <w:spacing w:line="420" w:lineRule="exact"/>
        <w:textAlignment w:val="auto"/>
      </w:pPr>
      <w:r>
        <w:rPr>
          <w:rFonts w:hint="eastAsia"/>
          <w:lang w:val="en-US" w:eastAsia="zh-CN"/>
        </w:rPr>
        <w:t xml:space="preserve">    http://www.moe.gov.cn/jyb_xwfb/s6192/s222/moe_1743/201808/t20180814_345220.html</w:t>
      </w:r>
    </w:p>
    <w:p>
      <w:r>
        <w:rPr>
          <w:color w:val="4B4B4B"/>
          <w:sz w:val="36"/>
          <w:szCs w:val="36"/>
          <w:shd w:val="clear" w:color="auto" w:fill="FFFFFF"/>
        </w:rPr>
        <w:t>【</w:t>
      </w:r>
      <w:r>
        <w:rPr>
          <w:rFonts w:hint="eastAsia"/>
          <w:color w:val="4B4B4B"/>
          <w:sz w:val="36"/>
          <w:szCs w:val="36"/>
          <w:shd w:val="clear" w:color="auto" w:fill="FFFFFF"/>
          <w:lang w:eastAsia="zh-CN"/>
        </w:rPr>
        <w:t>院校风采</w:t>
      </w:r>
      <w:r>
        <w:rPr>
          <w:color w:val="4B4B4B"/>
          <w:sz w:val="36"/>
          <w:szCs w:val="36"/>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55" w:lineRule="atLeast"/>
        <w:ind w:left="0" w:right="0" w:firstLine="0"/>
        <w:jc w:val="center"/>
        <w:textAlignment w:val="auto"/>
        <w:outlineLvl w:val="0"/>
        <w:rPr>
          <w:rFonts w:hint="eastAsia" w:ascii="宋体" w:hAnsi="宋体" w:eastAsia="宋体" w:cs="宋体"/>
          <w:b/>
          <w:kern w:val="0"/>
          <w:sz w:val="36"/>
          <w:szCs w:val="36"/>
          <w:lang w:val="en-US" w:eastAsia="zh-CN" w:bidi="ar"/>
        </w:rPr>
      </w:pPr>
      <w:bookmarkStart w:id="5" w:name="_Toc22033"/>
      <w:r>
        <w:rPr>
          <w:rFonts w:hint="eastAsia" w:ascii="宋体" w:hAnsi="宋体" w:eastAsia="宋体" w:cs="宋体"/>
          <w:b/>
          <w:kern w:val="0"/>
          <w:sz w:val="36"/>
          <w:szCs w:val="36"/>
          <w:lang w:val="en-US" w:eastAsia="zh-CN" w:bidi="ar"/>
        </w:rPr>
        <w:t>福建农林大学积极服务乡村振兴战略</w:t>
      </w:r>
      <w:bookmarkEnd w:id="5"/>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textAlignment w:val="auto"/>
        <w:outlineLvl w:val="9"/>
        <w:rPr>
          <w:rFonts w:hint="eastAsia" w:asciiTheme="minorHAnsi" w:hAnsiTheme="minorHAnsi" w:eastAsiaTheme="minorEastAsia" w:cstheme="minorBidi"/>
          <w:b/>
          <w:bCs/>
          <w:kern w:val="0"/>
          <w:sz w:val="24"/>
          <w:szCs w:val="24"/>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搭建平台。</w:t>
      </w:r>
      <w:r>
        <w:rPr>
          <w:rFonts w:hint="eastAsia" w:asciiTheme="minorHAnsi" w:hAnsiTheme="minorHAnsi" w:eastAsiaTheme="minorEastAsia" w:cstheme="minorBidi"/>
          <w:kern w:val="0"/>
          <w:sz w:val="24"/>
          <w:szCs w:val="24"/>
          <w:lang w:val="en-US" w:eastAsia="zh-CN" w:bidi="ar"/>
        </w:rPr>
        <w:t>建设福建乡村振兴研究院，汇聚校内外专家共同智慧和力量，深入研究乡村振兴战略实施重点问题。按照“一站一盟一中心”校县（市、区）共建模式，发挥学校人才和学科优势，与地方政府合作共建一批试验示范基地，对接基层农户，形成以产业为核心、以技术为引领的农技推广体系，为乡村振兴提供坚强有力的技术支撑。</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组建团队。</w:t>
      </w:r>
      <w:r>
        <w:rPr>
          <w:rFonts w:hint="eastAsia" w:asciiTheme="minorHAnsi" w:hAnsiTheme="minorHAnsi" w:eastAsiaTheme="minorEastAsia" w:cstheme="minorBidi"/>
          <w:kern w:val="0"/>
          <w:sz w:val="24"/>
          <w:szCs w:val="24"/>
          <w:lang w:val="en-US" w:eastAsia="zh-CN" w:bidi="ar"/>
        </w:rPr>
        <w:t>围绕特色产业方向、乡村建设、乡风培育等重点领域组建36支服务团队，通过专项经费支持，鼓励专家深入乡村开展技术指导，并采取量化目标考核、定期工作汇报等机制，确保每项措施职责明确、落实到人。</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培育人才。</w:t>
      </w:r>
      <w:r>
        <w:rPr>
          <w:rFonts w:hint="eastAsia" w:asciiTheme="minorHAnsi" w:hAnsiTheme="minorHAnsi" w:eastAsiaTheme="minorEastAsia" w:cstheme="minorBidi"/>
          <w:kern w:val="0"/>
          <w:sz w:val="24"/>
          <w:szCs w:val="24"/>
          <w:lang w:val="en-US" w:eastAsia="zh-CN" w:bidi="ar"/>
        </w:rPr>
        <w:t>按照培育懂农业、爱农村、爱农民的“三农”工作人才要求，加大农林学科专业调整力度，深化教育教学改革，着力办好办精农林高等教育。承接各级各类“三农”人才培训任务，改革培训方式、提高培训质量，帮助学员掌握新理念、新政策、新知识、新技术，每年培训农民5000人以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推广示范。</w:t>
      </w:r>
      <w:r>
        <w:rPr>
          <w:rFonts w:hint="eastAsia" w:asciiTheme="minorHAnsi" w:hAnsiTheme="minorHAnsi" w:eastAsiaTheme="minorEastAsia" w:cstheme="minorBidi"/>
          <w:kern w:val="0"/>
          <w:sz w:val="24"/>
          <w:szCs w:val="24"/>
          <w:lang w:val="en-US" w:eastAsia="zh-CN" w:bidi="ar"/>
        </w:rPr>
        <w:t>认真总结校地共建美丽乡村“晋江模式”成功经验，根据地方需求推广到永泰、永春、顺昌等县区。扎实推进首批3个“圆梦村”建设，计划在全省9个地市再增加27个示范点，努力打造福建乡村振兴样板，总结形成一批可复制可推广的成功模式。</w:t>
      </w:r>
    </w:p>
    <w:p>
      <w:pPr>
        <w:keepNext w:val="0"/>
        <w:keepLines w:val="0"/>
        <w:pageBreakBefore w:val="0"/>
        <w:kinsoku/>
        <w:wordWrap/>
        <w:overflowPunct/>
        <w:topLinePunct w:val="0"/>
        <w:autoSpaceDE/>
        <w:autoSpaceDN/>
        <w:bidi w:val="0"/>
        <w:adjustRightInd/>
        <w:snapToGrid/>
        <w:spacing w:line="460" w:lineRule="exact"/>
        <w:textAlignment w:val="auto"/>
        <w:rPr>
          <w:rFonts w:hint="eastAsia" w:eastAsiaTheme="minorEastAsia"/>
          <w:lang w:val="en-US" w:eastAsia="zh-CN"/>
        </w:rPr>
      </w:pPr>
      <w:r>
        <w:rPr>
          <w:rFonts w:hint="eastAsia"/>
          <w:lang w:val="en-US" w:eastAsia="zh-CN"/>
        </w:rPr>
        <w:t xml:space="preserve">   （来源：教育部，2018年7月2日）</w:t>
      </w:r>
    </w:p>
    <w:p>
      <w:pPr>
        <w:keepNext w:val="0"/>
        <w:keepLines w:val="0"/>
        <w:pageBreakBefore w:val="0"/>
        <w:kinsoku/>
        <w:wordWrap/>
        <w:overflowPunct/>
        <w:topLinePunct w:val="0"/>
        <w:autoSpaceDE/>
        <w:autoSpaceDN/>
        <w:bidi w:val="0"/>
        <w:adjustRightInd/>
        <w:snapToGrid/>
        <w:spacing w:line="460" w:lineRule="exact"/>
        <w:textAlignment w:val="auto"/>
        <w:rPr>
          <w:rFonts w:hint="eastAsia" w:eastAsiaTheme="minorEastAsia"/>
          <w:lang w:val="en-US" w:eastAsia="zh-CN"/>
        </w:rPr>
      </w:pPr>
      <w:r>
        <w:rPr>
          <w:rFonts w:hint="eastAsia"/>
          <w:lang w:val="en-US" w:eastAsia="zh-CN"/>
        </w:rPr>
        <w:t xml:space="preserve">    http://www.moe.gov.cn/jyb_xwfb/s6192/s222/moe_1745/201807/t20180712_342871.html</w:t>
      </w: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outlineLvl w:val="0"/>
        <w:rPr>
          <w:rFonts w:hint="eastAsia" w:ascii="宋体" w:hAnsi="宋体" w:eastAsia="宋体" w:cs="宋体"/>
          <w:b/>
          <w:kern w:val="0"/>
          <w:sz w:val="36"/>
          <w:szCs w:val="36"/>
          <w:lang w:val="en-US" w:eastAsia="zh-CN" w:bidi="ar"/>
        </w:rPr>
      </w:pPr>
      <w:bookmarkStart w:id="6" w:name="_Toc18489"/>
      <w:r>
        <w:rPr>
          <w:rFonts w:hint="eastAsia" w:ascii="宋体" w:hAnsi="宋体" w:eastAsia="宋体" w:cs="宋体"/>
          <w:b/>
          <w:kern w:val="0"/>
          <w:sz w:val="36"/>
          <w:szCs w:val="36"/>
          <w:lang w:val="en-US" w:eastAsia="zh-CN" w:bidi="ar"/>
        </w:rPr>
        <w:t>“西北乡村调查”为乡村振兴战略贡献“西农智慧”</w:t>
      </w:r>
      <w:bookmarkEnd w:id="6"/>
    </w:p>
    <w:p>
      <w:pPr>
        <w:keepNext w:val="0"/>
        <w:keepLines w:val="0"/>
        <w:pageBreakBefore w:val="0"/>
        <w:kinsoku/>
        <w:wordWrap/>
        <w:overflowPunct/>
        <w:topLinePunct w:val="0"/>
        <w:autoSpaceDE/>
        <w:autoSpaceDN/>
        <w:bidi w:val="0"/>
        <w:adjustRightInd/>
        <w:snapToGrid/>
        <w:spacing w:line="460" w:lineRule="exact"/>
        <w:textAlignment w:val="auto"/>
        <w:rPr>
          <w:rFonts w:hint="eastAsia"/>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近日,西北农林科技大学派出2000余名师生,分赴西北地区开展乡村调查,为乡村振兴战略实施贡献“西农智慧”。调查涉及65个地级市约20万个自然村,占全国国土面积的50%。</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校长吴普特指出,开展“西北乡村调查”,获取最小行政单元自然聚落、资源生态、产业结构、生产水平等基本数据,构建西北地区乡村类型本底信息数据库,形成西北地区乡村类型调查报告,为西北地区各级政府编制乡村振兴战略规划,以及国家推进乡村振兴战略实施提供理论和科技支撑,具有积极的推动作用和重要的现实意义。他强调,开展此项调查是学校助力乡村振兴战略实施的基础工程,也是学校主动服务区域经济发展、提升办学影响力的有力举措。希望全体参与调查的师生能够大兴调查研究之风,把西北乡村的真相和全貌调查清楚,为国家相关政策的制订提供真实、科学的依据。</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据了解, 此次调查主要集中在西北地区,包括陕西省、甘肃省、青海省、宁夏回族自治区、新疆维吾尔自治区以及内蒙古自治区(除东四盟),同时一并开展西藏自治区调查,涉及65个地级市,472个县级行政区划单位,75402个行政村,约20万个自然村,国土面积478.35万平方千米,占全国国土面积的50%。</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（来源：中国教育新闻网，2018年7月27日）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http://www.jyb.cn/zcg/jzz/201807/t20180727_1168220.html</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textAlignment w:val="auto"/>
        <w:outlineLvl w:val="9"/>
        <w:rPr>
          <w:rFonts w:hint="eastAsia" w:asciiTheme="minorHAnsi" w:hAnsiTheme="minorHAnsi" w:eastAsiaTheme="minorEastAsia" w:cstheme="minorBidi"/>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pPr>
        <w:keepNext w:val="0"/>
        <w:keepLines w:val="0"/>
        <w:pageBreakBefore w:val="0"/>
        <w:kinsoku/>
        <w:wordWrap/>
        <w:overflowPunct/>
        <w:topLinePunct w:val="0"/>
        <w:autoSpaceDE/>
        <w:autoSpaceDN/>
        <w:bidi w:val="0"/>
        <w:adjustRightInd/>
        <w:snapToGrid/>
        <w:spacing w:line="460" w:lineRule="exact"/>
        <w:textAlignment w:val="auto"/>
      </w:pPr>
    </w:p>
    <w:p>
      <w:r>
        <w:rPr>
          <w:color w:val="4B4B4B"/>
          <w:sz w:val="36"/>
          <w:szCs w:val="36"/>
          <w:shd w:val="clear" w:color="auto" w:fill="FFFFFF"/>
        </w:rPr>
        <w:t>【</w:t>
      </w:r>
      <w:r>
        <w:rPr>
          <w:rFonts w:hint="eastAsia"/>
          <w:color w:val="4B4B4B"/>
          <w:sz w:val="36"/>
          <w:szCs w:val="36"/>
          <w:shd w:val="clear" w:color="auto" w:fill="FFFFFF"/>
          <w:lang w:eastAsia="zh-CN"/>
        </w:rPr>
        <w:t>海外来风</w:t>
      </w:r>
      <w:r>
        <w:rPr>
          <w:color w:val="4B4B4B"/>
          <w:sz w:val="36"/>
          <w:szCs w:val="36"/>
          <w:shd w:val="clear" w:color="auto" w:fill="FFFFFF"/>
        </w:rPr>
        <w:t>】</w:t>
      </w:r>
    </w:p>
    <w:p/>
    <w:p>
      <w:pPr>
        <w:jc w:val="center"/>
        <w:outlineLvl w:val="0"/>
        <w:rPr>
          <w:rFonts w:hint="eastAsia" w:asciiTheme="minorHAnsi" w:hAnsiTheme="minorHAnsi" w:eastAsiaTheme="minorEastAsia" w:cstheme="minorBidi"/>
          <w:kern w:val="0"/>
          <w:sz w:val="24"/>
          <w:szCs w:val="24"/>
          <w:lang w:val="en-US" w:eastAsia="zh-CN" w:bidi="ar"/>
        </w:rPr>
      </w:pPr>
      <w:bookmarkStart w:id="7" w:name="_Toc12504"/>
      <w:r>
        <w:rPr>
          <w:rFonts w:hint="eastAsia" w:ascii="宋体" w:hAnsi="宋体" w:eastAsia="宋体" w:cs="宋体"/>
          <w:b/>
          <w:kern w:val="0"/>
          <w:sz w:val="36"/>
          <w:szCs w:val="36"/>
          <w:lang w:val="en-US" w:eastAsia="zh-CN" w:bidi="ar"/>
        </w:rPr>
        <w:t>中国和美国在世界大学学术排名中居于领先地位</w:t>
      </w:r>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在2018年8月15日公布的世界大学学术排名（ARWU）中，中国和美国是最大的赢家，分别有6所大学和4所大学进入前500名，但是哈佛大学连续16年位列第一的情况没有改变。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事实上，排名前10名的位置没有发生改变，前20名的位置由于没有新的参赛项目，几乎没有任何改变，只有三所大学的排名发生了变化。斯坦福大学排名第二，剑桥大学排名第三；紧随其后的是麻省理工学院、加州大学伯克利分校、普林斯顿大学、牛津大学、哥伦比亚大学；加州理工学院和芝加哥大学跟去年的排名相同。来自美国的大学在今年的前500强中占据了主导地位，有8所大学跻身前10名，46所大学进入前100名，139所进入前500名。中国有62所大学进入前500强，其中3所进入前100名。英国有39所进入前500强，其中8所进入前100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ARWU小组成员张志辉告诉大学世界新闻记者：“中国和美国是今年最大的赢家，前500所大学的数量分别增加6所和4所。相比之下，韩国今年失去了两个席位，是前500名大学中数量下降最多的国家。张说，这份排名显示，与其他国家的大学相比，中美两国的大学在提高成绩方面取得了更大的进步。“由于500所大学是固定数量，中国和美国大学数量的增加间接减少了其他国家在500所大学中的数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事实上，大学的排名在几年之间不应该有太大的变化，因为大学的表现在一年之内通常不会有太大的变化。世界大学学术排名的稳定性在一定程度上反映了这一现实。然而，一些大学排名的变化也为我们提供了宝贵的信息，说明一些大学与其他大学相比成绩提高的更多，这对大学、政府、决策者和公众来说都是有价值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theme="minorBidi"/>
          <w:kern w:val="0"/>
          <w:sz w:val="24"/>
          <w:szCs w:val="24"/>
          <w:lang w:val="en-US" w:eastAsia="zh-CN" w:bidi="ar"/>
        </w:rPr>
      </w:pPr>
      <w:r>
        <w:rPr>
          <w:rFonts w:hint="eastAsia" w:cstheme="minorBidi"/>
          <w:kern w:val="0"/>
          <w:sz w:val="24"/>
          <w:szCs w:val="24"/>
          <w:lang w:val="en-US" w:eastAsia="zh-CN" w:bidi="ar"/>
        </w:rPr>
        <w:t xml:space="preserve">  （来源：大学世界新闻，2018年8月14日）</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cstheme="minorBidi"/>
          <w:kern w:val="0"/>
          <w:sz w:val="24"/>
          <w:szCs w:val="24"/>
          <w:lang w:val="en-US" w:eastAsia="zh-CN" w:bidi="ar"/>
        </w:rPr>
      </w:pPr>
      <w:r>
        <w:rPr>
          <w:rFonts w:hint="eastAsia" w:cstheme="minorBidi"/>
          <w:kern w:val="0"/>
          <w:sz w:val="24"/>
          <w:szCs w:val="24"/>
          <w:lang w:val="en-US" w:eastAsia="zh-CN" w:bidi="ar"/>
        </w:rPr>
        <w:t>http://www.universityworldnews.com/article.php?story=20180814204614274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theme="minorBidi"/>
          <w:kern w:val="0"/>
          <w:sz w:val="24"/>
          <w:szCs w:val="24"/>
          <w:lang w:val="en-US" w:eastAsia="zh-CN" w:bidi="ar"/>
        </w:rPr>
      </w:pPr>
    </w:p>
    <w:p>
      <w:pPr>
        <w:rPr>
          <w:rFonts w:hint="eastAsia" w:asciiTheme="minorHAnsi" w:hAnsiTheme="minorHAnsi" w:eastAsiaTheme="minorEastAsia" w:cstheme="minorBidi"/>
          <w:kern w:val="0"/>
          <w:sz w:val="24"/>
          <w:szCs w:val="24"/>
          <w:lang w:val="en-US" w:eastAsia="zh-CN" w:bidi="ar"/>
        </w:rPr>
      </w:pPr>
    </w:p>
    <w:p>
      <w:pPr>
        <w:rPr>
          <w:rFonts w:hint="eastAsia" w:asciiTheme="minorHAnsi" w:hAnsiTheme="minorHAnsi" w:eastAsiaTheme="minorEastAsia" w:cstheme="minorBidi"/>
          <w:kern w:val="0"/>
          <w:sz w:val="24"/>
          <w:szCs w:val="24"/>
          <w:lang w:val="en-US" w:eastAsia="zh-CN" w:bidi="ar"/>
        </w:rPr>
      </w:pPr>
      <w:r>
        <w:rPr>
          <w:color w:val="4B4B4B"/>
          <w:sz w:val="36"/>
          <w:szCs w:val="36"/>
          <w:shd w:val="clear" w:color="auto" w:fill="FFFFFF"/>
        </w:rPr>
        <w:t>【</w:t>
      </w:r>
      <w:r>
        <w:rPr>
          <w:rFonts w:hint="eastAsia"/>
          <w:color w:val="4B4B4B"/>
          <w:sz w:val="36"/>
          <w:szCs w:val="36"/>
          <w:shd w:val="clear" w:color="auto" w:fill="FFFFFF"/>
          <w:lang w:eastAsia="zh-CN"/>
        </w:rPr>
        <w:t>经典导读</w:t>
      </w:r>
      <w:r>
        <w:rPr>
          <w:color w:val="4B4B4B"/>
          <w:sz w:val="36"/>
          <w:szCs w:val="36"/>
          <w:shd w:val="clear" w:color="auto" w:fill="FFFFFF"/>
        </w:rPr>
        <w:t>】</w:t>
      </w:r>
    </w:p>
    <w:p>
      <w:pPr>
        <w:rPr>
          <w:rFonts w:hint="eastAsia" w:asciiTheme="minorHAnsi" w:hAnsiTheme="minorHAnsi" w:eastAsiaTheme="minorEastAsia" w:cstheme="minorBidi"/>
          <w:kern w:val="0"/>
          <w:sz w:val="24"/>
          <w:szCs w:val="24"/>
          <w:lang w:val="en-US" w:eastAsia="zh-CN" w:bidi="ar"/>
        </w:rPr>
      </w:pPr>
    </w:p>
    <w:p>
      <w:pPr>
        <w:jc w:val="center"/>
        <w:outlineLvl w:val="0"/>
        <w:rPr>
          <w:rFonts w:hint="eastAsia" w:ascii="宋体" w:hAnsi="宋体" w:eastAsia="宋体" w:cs="宋体"/>
          <w:b/>
          <w:kern w:val="0"/>
          <w:sz w:val="36"/>
          <w:szCs w:val="36"/>
          <w:lang w:val="en-US" w:eastAsia="zh-CN" w:bidi="ar"/>
        </w:rPr>
      </w:pPr>
      <w:r>
        <w:rPr>
          <w:rFonts w:hint="eastAsia" w:cstheme="minorBidi"/>
          <w:kern w:val="0"/>
          <w:sz w:val="24"/>
          <w:szCs w:val="24"/>
          <w:lang w:val="en-US" w:eastAsia="zh-CN" w:bidi="ar"/>
        </w:rPr>
        <w:t xml:space="preserve"> </w:t>
      </w:r>
      <w:bookmarkStart w:id="8" w:name="_Toc31973"/>
      <w:r>
        <w:rPr>
          <w:rFonts w:hint="eastAsia" w:ascii="宋体" w:hAnsi="宋体" w:eastAsia="宋体" w:cs="宋体"/>
          <w:b/>
          <w:kern w:val="0"/>
          <w:sz w:val="36"/>
          <w:szCs w:val="36"/>
          <w:lang w:val="en-US" w:eastAsia="zh-CN" w:bidi="ar"/>
        </w:rPr>
        <w:t>多学科观点的高等教育研究</w:t>
      </w:r>
      <w:bookmarkEnd w:id="8"/>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《多学科观点的高等教育研究》一书是由我国著名教育学家,厦门大学高等教育科学研究所名誉所长潘懋元教授主编的，该书是潘懋元教授承担完成的国家九五哲学社会科学规划重点课题的研究成果。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eastAsia="宋体" w:cstheme="minorBidi"/>
          <w:kern w:val="0"/>
          <w:sz w:val="24"/>
          <w:szCs w:val="24"/>
          <w:lang w:val="en-US" w:eastAsia="zh-CN" w:bidi="ar"/>
        </w:rPr>
      </w:pPr>
      <w:r>
        <w:rPr>
          <w:rFonts w:hint="eastAsia" w:eastAsia="宋体" w:cstheme="minorBidi"/>
          <w:kern w:val="0"/>
          <w:sz w:val="24"/>
          <w:szCs w:val="24"/>
          <w:lang w:val="en-US" w:eastAsia="zh-CN" w:bidi="ar"/>
        </w:rPr>
        <w:t>作者认为，一方面，高等教育的基本功能是为社会的各个部门培养专门人才，它必须同经济、政治、文化、科学等等系统交流不断变化着的信息，受社会各有关系统制约并为之提供服务，以便在主动适应外部环境的变化中获得社会的支持并增强自身的活力，发挥自身的功能，实现自身的价值。另一方面，高等教育是由各种专业组成的，每种专业都是一门或宽或窄、或单一或综合的学科，并且联系着其他有关学科，它必须同各门学科交流信息，获得各门学科最新进展的信息，及时转化为教育资源，以便提高所培养的人才的知识水平和学术视野，并且通过科学研究，促使学科的发展。总之，无论从高等教育系统与社会各个系统的外部关系上，或从高等教育各个专业、各门学科的内部关系上，都有必要从不同的学科观点，运用不同的学科方法来认识高等教育的功能与价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该书以建构高等教育学科理论体系，推进高等教育学科建设为目的，运用多学科的研究方法，结合中国高等教育实际，从历史学的观点、哲学的观点、心理学的观点、文化学的观点、科学学的观点、经济学的观点、社会学的观点、政治学的观点、管理学的观点、系统科学的观点、比较教育学的观点出发，对高等教育进行了较为广泛深入研究，提出了高等教育理论的若干最新认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多学科观点的高等教育研究具有重要的方法论意义，对于拓宽高等教育研究领域,开拓研究者的视野与思路、促进学科间的相互理解，提供新的思维方式等具有重要意义。对于推进高等教育理论体系的建设，具有重要作用。</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cstheme="minorBidi"/>
          <w:kern w:val="0"/>
          <w:sz w:val="24"/>
          <w:szCs w:val="24"/>
          <w:lang w:val="en-US" w:eastAsia="zh-CN" w:bidi="ar"/>
        </w:rPr>
      </w:pPr>
      <w:r>
        <w:rPr>
          <w:rFonts w:hint="eastAsia" w:cstheme="minorBidi"/>
          <w:kern w:val="0"/>
          <w:sz w:val="24"/>
          <w:szCs w:val="24"/>
          <w:lang w:val="en-US" w:eastAsia="zh-CN" w:bidi="ar"/>
        </w:rPr>
        <w:t>（来源：高等教育研究，2002年第23卷第1期）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cstheme="minorBidi"/>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
    <w:p/>
    <w:p/>
    <w:p/>
    <w:p/>
    <w:p/>
    <w:p/>
    <w:p/>
    <w:p/>
    <w:p/>
    <w:p/>
    <w:p/>
    <w:p/>
    <w:p/>
    <w:p/>
    <w:p/>
    <w:p/>
    <w:p/>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
      <w:pPr>
        <w:rPr>
          <w:rFonts w:ascii="Times New Roman" w:hAnsi="Times New Roman" w:eastAsia="黑体"/>
          <w:sz w:val="24"/>
        </w:rPr>
      </w:pPr>
      <w:r>
        <w:rPr>
          <w:rFonts w:ascii="Times New Roman" w:hAnsi="Times New Roman"/>
        </w:rPr>
        <mc:AlternateContent>
          <mc:Choice Requires="wps">
            <w:drawing>
              <wp:anchor distT="0" distB="0" distL="114300" distR="114300" simplePos="0" relativeHeight="574422016" behindDoc="0" locked="0" layoutInCell="1" allowOverlap="1">
                <wp:simplePos x="0" y="0"/>
                <wp:positionH relativeFrom="column">
                  <wp:posOffset>-12065</wp:posOffset>
                </wp:positionH>
                <wp:positionV relativeFrom="paragraph">
                  <wp:posOffset>187960</wp:posOffset>
                </wp:positionV>
                <wp:extent cx="5487670" cy="12700"/>
                <wp:effectExtent l="0" t="25400" r="17780" b="38100"/>
                <wp:wrapNone/>
                <wp:docPr id="69" name="自选图形 43"/>
                <wp:cNvGraphicFramePr/>
                <a:graphic xmlns:a="http://schemas.openxmlformats.org/drawingml/2006/main">
                  <a:graphicData uri="http://schemas.microsoft.com/office/word/2010/wordprocessingShape">
                    <wps:wsp>
                      <wps:cNvCnPr/>
                      <wps:spPr>
                        <a:xfrm>
                          <a:off x="0" y="0"/>
                          <a:ext cx="5487670" cy="1270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0.95pt;margin-top:14.8pt;height:1pt;width:432.1pt;z-index:574422016;mso-width-relative:page;mso-height-relative:page;" filled="f" stroked="t" coordsize="21600,21600" o:gfxdata="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yx&#10;sO7aAAAACAEAAA8AAAAAAAAAAQAgAAAAIgAAAGRycy9kb3ducmV2LnhtbFBLAQIUABQAAAAIAIdO&#10;4kCabGJi6AEAAKoDAAAOAAAAAAAAAAEAIAAAACkBAABkcnMvZTJvRG9jLnhtbFBLBQYAAAAABgAG&#10;AFkBAACDBQAAAAA=&#10;">
                <v:fill on="f" focussize="0,0"/>
                <v:stroke weight="4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主办：信阳农林学院</w:t>
      </w:r>
      <w:r>
        <w:rPr>
          <w:rFonts w:hint="eastAsia" w:ascii="Times New Roman" w:hAnsi="Times New Roman" w:eastAsia="黑体"/>
          <w:sz w:val="24"/>
        </w:rPr>
        <w:t>发展规划处（高教研究所）</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编辑：</w:t>
      </w:r>
      <w:r>
        <w:rPr>
          <w:rFonts w:hint="eastAsia" w:ascii="Times New Roman" w:hAnsi="Times New Roman" w:eastAsia="黑体"/>
          <w:sz w:val="24"/>
        </w:rPr>
        <w:t>杨刚</w:t>
      </w:r>
      <w:r>
        <w:rPr>
          <w:rFonts w:ascii="Times New Roman" w:hAnsi="Times New Roman" w:eastAsia="黑体"/>
          <w:sz w:val="24"/>
        </w:rPr>
        <w:t xml:space="preserve"> </w:t>
      </w:r>
      <w:r>
        <w:rPr>
          <w:rFonts w:hint="eastAsia" w:ascii="Times New Roman" w:hAnsi="Times New Roman" w:eastAsia="黑体"/>
          <w:sz w:val="24"/>
        </w:rPr>
        <w:t>周俊 张兰兰</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审稿：</w:t>
      </w:r>
      <w:r>
        <w:rPr>
          <w:rFonts w:hint="eastAsia" w:ascii="Times New Roman" w:hAnsi="Times New Roman" w:eastAsia="黑体"/>
          <w:sz w:val="24"/>
        </w:rPr>
        <w:t>易明柏</w:t>
      </w:r>
      <w:r>
        <w:rPr>
          <w:rFonts w:ascii="Times New Roman" w:hAnsi="Times New Roman" w:eastAsia="黑体"/>
          <w:sz w:val="24"/>
        </w:rPr>
        <w:t xml:space="preserve">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通讯地址：河南省信阳市平桥区北环路1号       电话：0376-668</w:t>
      </w:r>
      <w:r>
        <w:rPr>
          <w:rFonts w:hint="eastAsia" w:ascii="Times New Roman" w:hAnsi="Times New Roman" w:eastAsia="黑体"/>
          <w:sz w:val="24"/>
        </w:rPr>
        <w:t>6859</w:t>
      </w:r>
    </w:p>
    <w:p>
      <w:pPr>
        <w:keepNext w:val="0"/>
        <w:keepLines w:val="0"/>
        <w:pageBreakBefore w:val="0"/>
        <w:kinsoku/>
        <w:wordWrap/>
        <w:overflowPunct/>
        <w:topLinePunct w:val="0"/>
        <w:autoSpaceDE/>
        <w:autoSpaceDN/>
        <w:bidi w:val="0"/>
        <w:adjustRightInd/>
        <w:snapToGrid/>
        <w:spacing w:line="380" w:lineRule="exact"/>
        <w:textAlignment w:val="auto"/>
        <w:outlineLvl w:val="9"/>
        <w:rPr>
          <w:rFonts w:hint="eastAsia"/>
          <w:lang w:val="en-US" w:eastAsia="zh-CN"/>
        </w:rPr>
      </w:pPr>
      <w:r>
        <w:rPr>
          <w:rFonts w:ascii="Times New Roman" w:hAnsi="Times New Roman"/>
        </w:rPr>
        <mc:AlternateContent>
          <mc:Choice Requires="wps">
            <w:drawing>
              <wp:anchor distT="0" distB="0" distL="114300" distR="114300" simplePos="0" relativeHeight="1058569216" behindDoc="0" locked="0" layoutInCell="1" allowOverlap="1">
                <wp:simplePos x="0" y="0"/>
                <wp:positionH relativeFrom="column">
                  <wp:posOffset>-88265</wp:posOffset>
                </wp:positionH>
                <wp:positionV relativeFrom="paragraph">
                  <wp:posOffset>382905</wp:posOffset>
                </wp:positionV>
                <wp:extent cx="5487670" cy="12700"/>
                <wp:effectExtent l="0" t="25400" r="17780" b="38100"/>
                <wp:wrapNone/>
                <wp:docPr id="2" name="自选图形 43"/>
                <wp:cNvGraphicFramePr/>
                <a:graphic xmlns:a="http://schemas.openxmlformats.org/drawingml/2006/main">
                  <a:graphicData uri="http://schemas.microsoft.com/office/word/2010/wordprocessingShape">
                    <wps:wsp>
                      <wps:cNvCnPr/>
                      <wps:spPr>
                        <a:xfrm>
                          <a:off x="0" y="0"/>
                          <a:ext cx="5487670" cy="12700"/>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6.95pt;margin-top:30.15pt;height:1pt;width:432.1pt;z-index:1058569216;mso-width-relative:page;mso-height-relative:page;" filled="f" stroked="t" coordsize="21600,21600" o:gfxdata="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d0V1&#10;2QAAAAkBAAAPAAAAAAAAAAEAIAAAACIAAABkcnMvZG93bnJldi54bWxQSwECFAAUAAAACACHTuJA&#10;qdG+Q+cBAACpAwAADgAAAAAAAAABACAAAAAoAQAAZHJzL2Uyb0RvYy54bWxQSwUGAAAAAAYABgBZ&#10;AQAAgQUAAAAA&#10;">
                <v:fill on="f" focussize="0,0"/>
                <v:stroke weight="4pt" color="#FF0000" joinstyle="round"/>
                <v:imagedata o:title=""/>
                <o:lock v:ext="edit" aspectratio="f"/>
              </v:shape>
            </w:pict>
          </mc:Fallback>
        </mc:AlternateContent>
      </w:r>
      <w:r>
        <w:rPr>
          <w:rFonts w:ascii="Times New Roman" w:hAnsi="Times New Roman" w:eastAsia="黑体"/>
          <w:sz w:val="24"/>
        </w:rPr>
        <w:t>邮    编：464000                             邮箱：</w:t>
      </w:r>
      <w:r>
        <w:fldChar w:fldCharType="begin"/>
      </w:r>
      <w:r>
        <w:instrText xml:space="preserve"> HYPERLINK "mailto:275035267@qq.com" </w:instrText>
      </w:r>
      <w:r>
        <w:fldChar w:fldCharType="separate"/>
      </w:r>
      <w:r>
        <w:rPr>
          <w:rFonts w:hint="eastAsia" w:ascii="Times New Roman" w:hAnsi="Times New Roman" w:eastAsia="黑体"/>
          <w:sz w:val="24"/>
        </w:rPr>
        <w:t>zhlan101</w:t>
      </w:r>
      <w:r>
        <w:rPr>
          <w:rFonts w:ascii="Times New Roman" w:hAnsi="Times New Roman" w:eastAsia="黑体"/>
          <w:sz w:val="24"/>
        </w:rPr>
        <w:t>@</w:t>
      </w:r>
      <w:r>
        <w:rPr>
          <w:rFonts w:hint="eastAsia" w:ascii="Times New Roman" w:hAnsi="Times New Roman" w:eastAsia="黑体"/>
          <w:sz w:val="24"/>
        </w:rPr>
        <w:t>163</w:t>
      </w:r>
      <w:r>
        <w:rPr>
          <w:rFonts w:ascii="Times New Roman" w:hAnsi="Times New Roman" w:eastAsia="黑体"/>
          <w:sz w:val="24"/>
        </w:rPr>
        <w:t>.com</w:t>
      </w:r>
      <w:r>
        <w:rPr>
          <w:rFonts w:ascii="Times New Roman" w:hAnsi="Times New Roman" w:eastAsia="黑体"/>
          <w:sz w:val="24"/>
        </w:rPr>
        <w:fldChar w:fldCharType="end"/>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D0C9DC"/>
    <w:multiLevelType w:val="singleLevel"/>
    <w:tmpl w:val="F5D0C9D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76604"/>
    <w:rsid w:val="00E66EB6"/>
    <w:rsid w:val="357933E1"/>
    <w:rsid w:val="3E7614E1"/>
    <w:rsid w:val="3E876604"/>
    <w:rsid w:val="5058773A"/>
    <w:rsid w:val="538D22C0"/>
    <w:rsid w:val="62E719C8"/>
    <w:rsid w:val="67B908EE"/>
    <w:rsid w:val="6ED30279"/>
    <w:rsid w:val="7A367749"/>
    <w:rsid w:val="7AD56DBE"/>
    <w:rsid w:val="7F5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2D2D2D"/>
      <w:u w:val="none"/>
    </w:rPr>
  </w:style>
  <w:style w:type="character" w:styleId="11">
    <w:name w:val="Hyperlink"/>
    <w:basedOn w:val="8"/>
    <w:qFormat/>
    <w:uiPriority w:val="0"/>
    <w:rPr>
      <w:color w:val="2D2D2D"/>
      <w:u w:val="none"/>
    </w:rPr>
  </w:style>
  <w:style w:type="character" w:customStyle="1" w:styleId="13">
    <w:name w:val="current"/>
    <w:basedOn w:val="8"/>
    <w:qFormat/>
    <w:uiPriority w:val="0"/>
    <w:rPr>
      <w:b/>
      <w:color w:val="FFFFFF"/>
      <w:bdr w:val="single" w:color="000080" w:sz="6" w:space="0"/>
      <w:shd w:val="clear" w:fill="2E6AB1"/>
    </w:rPr>
  </w:style>
  <w:style w:type="character" w:customStyle="1" w:styleId="14">
    <w:name w:val="bsharetext"/>
    <w:basedOn w:val="8"/>
    <w:qFormat/>
    <w:uiPriority w:val="0"/>
  </w:style>
  <w:style w:type="character" w:customStyle="1" w:styleId="15">
    <w:name w:val="disabled"/>
    <w:basedOn w:val="8"/>
    <w:qFormat/>
    <w:uiPriority w:val="0"/>
    <w:rPr>
      <w:color w:val="929292"/>
      <w:bdr w:val="single" w:color="929292" w:sz="6"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2018-06-27T00:40:00Z</dcterms:created>
  <dc:creator>迅速N了</dc:creator>
  <cp:lastModifiedBy>zhlan</cp:lastModifiedBy>
  <dcterms:modified xsi:type="dcterms:W3CDTF">2018-08-31T02:34:43Z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