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华文行楷"/>
          <w:sz w:val="96"/>
          <w:szCs w:val="74"/>
        </w:rPr>
      </w:pPr>
    </w:p>
    <w:p>
      <w:pPr>
        <w:jc w:val="left"/>
        <w:rPr>
          <w:rFonts w:ascii="Times New Roman" w:hAnsi="Times New Roman" w:eastAsia="华文行楷"/>
          <w:sz w:val="96"/>
          <w:szCs w:val="74"/>
        </w:rPr>
      </w:pPr>
      <w:r>
        <w:drawing>
          <wp:inline distT="0" distB="0" distL="114300" distR="114300">
            <wp:extent cx="1104900" cy="1023620"/>
            <wp:effectExtent l="0" t="0" r="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1104900" cy="1023620"/>
                    </a:xfrm>
                    <a:prstGeom prst="rect">
                      <a:avLst/>
                    </a:prstGeom>
                    <a:noFill/>
                    <a:ln w="9525">
                      <a:noFill/>
                    </a:ln>
                  </pic:spPr>
                </pic:pic>
              </a:graphicData>
            </a:graphic>
          </wp:inline>
        </w:drawing>
      </w:r>
      <w:bookmarkStart w:id="16" w:name="_GoBack"/>
      <w:bookmarkEnd w:id="16"/>
      <w:r>
        <w:rPr>
          <w:rFonts w:hint="eastAsia" w:ascii="Times New Roman" w:hAnsi="Times New Roman" w:eastAsia="华文行楷"/>
          <w:sz w:val="96"/>
          <w:szCs w:val="74"/>
        </w:rPr>
        <w:t>高教信息参考</w:t>
      </w:r>
    </w:p>
    <w:p>
      <w:pPr>
        <w:spacing w:line="240" w:lineRule="atLeast"/>
        <w:jc w:val="center"/>
        <w:rPr>
          <w:rFonts w:ascii="黑体" w:hAnsi="黑体" w:eastAsia="黑体" w:cs="黑体"/>
          <w:sz w:val="32"/>
          <w:szCs w:val="32"/>
        </w:rPr>
      </w:pPr>
      <w:r>
        <w:rPr>
          <w:rFonts w:hint="eastAsia" w:ascii="黑体" w:hAnsi="黑体" w:eastAsia="黑体" w:cs="黑体"/>
          <w:sz w:val="32"/>
          <w:szCs w:val="32"/>
        </w:rPr>
        <w:t xml:space="preserve">    INFORMATION REVIEW OF HIGHER EDUCATION</w:t>
      </w:r>
    </w:p>
    <w:p>
      <w:pPr>
        <w:jc w:val="center"/>
        <w:rPr>
          <w:rFonts w:ascii="Times New Roman" w:hAnsi="Times New Roman" w:eastAsia="楷体"/>
          <w:sz w:val="32"/>
          <w:szCs w:val="32"/>
        </w:rPr>
      </w:pPr>
      <w:r>
        <w:rPr>
          <w:rFonts w:ascii="Times New Roman" w:hAnsi="Times New Roman"/>
          <w:b/>
          <w:bCs/>
          <w:sz w:val="32"/>
          <w:szCs w:val="32"/>
        </w:rPr>
        <mc:AlternateContent>
          <mc:Choice Requires="wps">
            <w:drawing>
              <wp:anchor distT="0" distB="0" distL="114300" distR="114300" simplePos="0" relativeHeight="332348416" behindDoc="0" locked="0" layoutInCell="1" allowOverlap="1">
                <wp:simplePos x="0" y="0"/>
                <wp:positionH relativeFrom="column">
                  <wp:posOffset>-68580</wp:posOffset>
                </wp:positionH>
                <wp:positionV relativeFrom="paragraph">
                  <wp:posOffset>344170</wp:posOffset>
                </wp:positionV>
                <wp:extent cx="5997575" cy="635"/>
                <wp:effectExtent l="0" t="10160" r="3175" b="46355"/>
                <wp:wrapNone/>
                <wp:docPr id="1" name="自选图形 2"/>
                <wp:cNvGraphicFramePr/>
                <a:graphic xmlns:a="http://schemas.openxmlformats.org/drawingml/2006/main">
                  <a:graphicData uri="http://schemas.microsoft.com/office/word/2010/wordprocessingShape">
                    <wps:wsp>
                      <wps:cNvCnPr/>
                      <wps:spPr>
                        <a:xfrm>
                          <a:off x="0" y="0"/>
                          <a:ext cx="5997575" cy="635"/>
                        </a:xfrm>
                        <a:prstGeom prst="straightConnector1">
                          <a:avLst/>
                        </a:prstGeom>
                        <a:ln w="63500"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5.4pt;margin-top:27.1pt;height:0.05pt;width:472.25pt;z-index:332348416;mso-width-relative:page;mso-height-relative:page;" filled="f" stroked="t" coordsize="21600,21600" o:gfxdata="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EH6tcAAAAJAQAA&#10;DwAAAAAAAAABACAAAAAiAAAAZHJzL2Rvd25yZXYueG1sUEsBAhQAFAAAAAgAh07iQPK6SZfhAQAA&#10;pgMAAA4AAAAAAAAAAQAgAAAAJgEAAGRycy9lMm9Eb2MueG1sUEsFBgAAAAAGAAYAWQEAAHkFAAAA&#10;AA==&#10;">
                <v:fill on="f" focussize="0,0"/>
                <v:stroke weight="5pt" color="#FF0000" joinstyle="round"/>
                <v:imagedata o:title=""/>
                <o:lock v:ext="edit" aspectratio="f"/>
              </v:shape>
            </w:pict>
          </mc:Fallback>
        </mc:AlternateContent>
      </w:r>
      <w:r>
        <w:rPr>
          <w:rFonts w:ascii="Times New Roman" w:hAnsi="Times New Roman" w:eastAsia="楷体"/>
          <w:sz w:val="32"/>
          <w:szCs w:val="32"/>
        </w:rPr>
        <w:t xml:space="preserve">          </w:t>
      </w:r>
    </w:p>
    <w:p>
      <w:pPr>
        <w:jc w:val="center"/>
        <w:rPr>
          <w:rFonts w:ascii="Times New Roman" w:hAnsi="Times New Roman" w:eastAsia="楷体"/>
          <w:b/>
          <w:sz w:val="32"/>
          <w:szCs w:val="32"/>
        </w:rPr>
      </w:pPr>
      <w:r>
        <w:rPr>
          <w:rFonts w:hint="eastAsia" w:ascii="Times New Roman" w:hAnsi="Times New Roman" w:eastAsia="楷体"/>
          <w:sz w:val="32"/>
          <w:szCs w:val="32"/>
        </w:rPr>
        <w:t xml:space="preserve">    </w:t>
      </w:r>
      <w:r>
        <w:rPr>
          <w:rFonts w:hint="eastAsia" w:ascii="楷体" w:hAnsi="楷体" w:eastAsia="楷体" w:cs="楷体"/>
          <w:b/>
          <w:bCs/>
          <w:sz w:val="32"/>
          <w:szCs w:val="32"/>
        </w:rPr>
        <w:t>发展规划处(高教研究所）</w:t>
      </w:r>
      <w:r>
        <w:rPr>
          <w:rFonts w:ascii="Times New Roman" w:hAnsi="Times New Roman" w:eastAsia="楷体"/>
          <w:b/>
          <w:sz w:val="32"/>
          <w:szCs w:val="32"/>
        </w:rPr>
        <w:t>编</w:t>
      </w:r>
      <w:r>
        <w:rPr>
          <w:rFonts w:ascii="Times New Roman" w:hAnsi="Times New Roman" w:eastAsia="楷体"/>
          <w:sz w:val="32"/>
          <w:szCs w:val="32"/>
        </w:rPr>
        <w:t xml:space="preserve">   </w:t>
      </w:r>
      <w:r>
        <w:rPr>
          <w:rFonts w:ascii="Times New Roman" w:hAnsi="Times New Roman" w:eastAsia="楷体"/>
          <w:b/>
          <w:sz w:val="32"/>
          <w:szCs w:val="32"/>
        </w:rPr>
        <w:t>2017年</w:t>
      </w:r>
      <w:r>
        <w:rPr>
          <w:rFonts w:hint="eastAsia" w:ascii="Times New Roman" w:hAnsi="Times New Roman" w:eastAsia="楷体"/>
          <w:b/>
          <w:sz w:val="32"/>
          <w:szCs w:val="32"/>
        </w:rPr>
        <w:t>第0</w:t>
      </w:r>
      <w:r>
        <w:rPr>
          <w:rFonts w:hint="eastAsia" w:ascii="Times New Roman" w:hAnsi="Times New Roman" w:eastAsia="楷体"/>
          <w:b/>
          <w:sz w:val="32"/>
          <w:szCs w:val="32"/>
          <w:lang w:val="en-US" w:eastAsia="zh-CN"/>
        </w:rPr>
        <w:t>1</w:t>
      </w:r>
      <w:r>
        <w:rPr>
          <w:rFonts w:hint="eastAsia" w:ascii="Times New Roman" w:hAnsi="Times New Roman" w:eastAsia="楷体"/>
          <w:b/>
          <w:sz w:val="32"/>
          <w:szCs w:val="32"/>
        </w:rPr>
        <w:t>期</w:t>
      </w:r>
    </w:p>
    <w:p>
      <w:pPr>
        <w:rPr>
          <w:rFonts w:ascii="Times New Roman" w:hAnsi="Times New Roman" w:eastAsia="黑体"/>
          <w:sz w:val="36"/>
          <w:szCs w:val="36"/>
        </w:rPr>
      </w:pPr>
    </w:p>
    <w:p>
      <w:pPr>
        <w:jc w:val="center"/>
        <w:rPr>
          <w:rFonts w:ascii="Times New Roman" w:hAnsi="Times New Roman" w:eastAsia="黑体"/>
          <w:sz w:val="36"/>
          <w:szCs w:val="36"/>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right="0" w:rightChars="0" w:firstLine="0" w:firstLineChars="0"/>
        <w:jc w:val="both"/>
        <w:textAlignment w:val="auto"/>
        <w:outlineLvl w:val="9"/>
        <w:rPr>
          <w:rFonts w:hint="eastAsia" w:ascii="Times New Roman" w:hAnsi="Times New Roman" w:eastAsia="黑体"/>
          <w:sz w:val="36"/>
          <w:szCs w:val="36"/>
        </w:rPr>
      </w:pPr>
      <w:r>
        <w:rPr>
          <w:rFonts w:hint="eastAsia" w:ascii="Times New Roman" w:hAnsi="Times New Roman" w:eastAsia="黑体"/>
          <w:sz w:val="36"/>
          <w:szCs w:val="36"/>
        </w:rPr>
        <w:t>本期导读</w:t>
      </w:r>
    </w:p>
    <w:p>
      <w:pPr>
        <w:keepNext w:val="0"/>
        <w:keepLines w:val="0"/>
        <w:pageBreakBefore w:val="0"/>
        <w:widowControl w:val="0"/>
        <w:numPr>
          <w:ilvl w:val="0"/>
          <w:numId w:val="1"/>
        </w:numPr>
        <w:kinsoku/>
        <w:wordWrap/>
        <w:overflowPunct/>
        <w:topLinePunct w:val="0"/>
        <w:autoSpaceDE/>
        <w:autoSpaceDN/>
        <w:bidi w:val="0"/>
        <w:adjustRightInd/>
        <w:snapToGrid/>
        <w:spacing w:line="760" w:lineRule="atLeast"/>
        <w:ind w:left="420" w:leftChars="0" w:right="0" w:rightChars="0" w:hanging="420" w:firstLineChars="0"/>
        <w:jc w:val="both"/>
        <w:textAlignment w:val="auto"/>
        <w:rPr>
          <w:rFonts w:ascii="Times New Roman" w:hAnsi="Times New Roman" w:eastAsia="黑体"/>
          <w:sz w:val="36"/>
          <w:szCs w:val="36"/>
        </w:rPr>
      </w:pPr>
      <w:r>
        <w:rPr>
          <w:rFonts w:hint="eastAsia"/>
          <w:bCs/>
          <w:sz w:val="32"/>
          <w:szCs w:val="32"/>
          <w:lang w:val="en-US" w:eastAsia="zh-CN"/>
        </w:rPr>
        <w:fldChar w:fldCharType="begin"/>
      </w:r>
      <w:r>
        <w:rPr>
          <w:rFonts w:hint="eastAsia"/>
          <w:bCs/>
          <w:sz w:val="32"/>
          <w:szCs w:val="32"/>
          <w:lang w:val="en-US" w:eastAsia="zh-CN"/>
        </w:rPr>
        <w:instrText xml:space="preserve"> HYPERLINK \l _Toc29609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教育部发布高层次人才发展指导意见 向高校放权</w:t>
      </w:r>
    </w:p>
    <w:p>
      <w:pPr>
        <w:keepNext w:val="0"/>
        <w:keepLines w:val="0"/>
        <w:pageBreakBefore w:val="0"/>
        <w:widowControl w:val="0"/>
        <w:numPr>
          <w:ilvl w:val="0"/>
          <w:numId w:val="1"/>
        </w:numPr>
        <w:kinsoku/>
        <w:wordWrap/>
        <w:overflowPunct/>
        <w:topLinePunct w:val="0"/>
        <w:autoSpaceDE/>
        <w:autoSpaceDN/>
        <w:bidi w:val="0"/>
        <w:adjustRightInd/>
        <w:snapToGrid/>
        <w:spacing w:line="760" w:lineRule="atLeast"/>
        <w:ind w:left="420" w:leftChars="0" w:right="0" w:rightChars="0" w:hanging="420" w:firstLineChars="0"/>
        <w:jc w:val="both"/>
        <w:textAlignment w:val="auto"/>
        <w:rPr>
          <w:rFonts w:ascii="Times New Roman" w:hAnsi="Times New Roman" w:eastAsia="黑体"/>
          <w:sz w:val="36"/>
          <w:szCs w:val="36"/>
        </w:rPr>
      </w:pPr>
      <w:r>
        <w:rPr>
          <w:rFonts w:hint="eastAsia"/>
          <w:bCs/>
          <w:sz w:val="32"/>
          <w:szCs w:val="32"/>
          <w:lang w:val="en-US" w:eastAsia="zh-CN"/>
        </w:rPr>
        <w:fldChar w:fldCharType="end"/>
      </w:r>
      <w:r>
        <w:rPr>
          <w:rFonts w:hint="eastAsia" w:asciiTheme="minorHAnsi" w:hAnsiTheme="minorHAnsi" w:eastAsiaTheme="minorEastAsia" w:cstheme="minorBidi"/>
          <w:bCs/>
          <w:kern w:val="2"/>
          <w:sz w:val="32"/>
          <w:szCs w:val="32"/>
          <w:lang w:val="en-US" w:eastAsia="zh-CN" w:bidi="ar-SA"/>
        </w:rPr>
        <w:t>华中科大本科生学分不达标将转专科</w:t>
      </w:r>
    </w:p>
    <w:p>
      <w:pPr>
        <w:keepNext w:val="0"/>
        <w:keepLines w:val="0"/>
        <w:pageBreakBefore w:val="0"/>
        <w:widowControl w:val="0"/>
        <w:numPr>
          <w:ilvl w:val="0"/>
          <w:numId w:val="1"/>
        </w:numPr>
        <w:kinsoku/>
        <w:wordWrap/>
        <w:overflowPunct/>
        <w:topLinePunct w:val="0"/>
        <w:autoSpaceDE/>
        <w:autoSpaceDN/>
        <w:bidi w:val="0"/>
        <w:adjustRightInd/>
        <w:snapToGrid/>
        <w:spacing w:line="760" w:lineRule="atLeast"/>
        <w:ind w:left="420" w:leftChars="0" w:right="0" w:rightChars="0" w:hanging="420" w:firstLineChars="0"/>
        <w:jc w:val="both"/>
        <w:textAlignment w:val="auto"/>
        <w:rPr>
          <w:rFonts w:ascii="Times New Roman" w:hAnsi="Times New Roman" w:eastAsia="黑体"/>
          <w:sz w:val="36"/>
          <w:szCs w:val="36"/>
        </w:rPr>
      </w:pPr>
      <w:r>
        <w:rPr>
          <w:rFonts w:hint="eastAsia" w:asciiTheme="minorHAnsi" w:hAnsiTheme="minorHAnsi" w:eastAsiaTheme="minorEastAsia" w:cstheme="minorBidi"/>
          <w:bCs/>
          <w:kern w:val="2"/>
          <w:sz w:val="32"/>
          <w:szCs w:val="32"/>
          <w:lang w:val="en-US" w:eastAsia="zh-CN" w:bidi="ar-SA"/>
        </w:rPr>
        <w:t>新疆出台高等学校本科教育教学改革方案</w:t>
      </w:r>
    </w:p>
    <w:p>
      <w:pPr>
        <w:keepNext w:val="0"/>
        <w:keepLines w:val="0"/>
        <w:pageBreakBefore w:val="0"/>
        <w:widowControl w:val="0"/>
        <w:numPr>
          <w:ilvl w:val="0"/>
          <w:numId w:val="1"/>
        </w:numPr>
        <w:kinsoku/>
        <w:wordWrap/>
        <w:overflowPunct/>
        <w:topLinePunct w:val="0"/>
        <w:autoSpaceDE/>
        <w:autoSpaceDN/>
        <w:bidi w:val="0"/>
        <w:adjustRightInd/>
        <w:snapToGrid/>
        <w:spacing w:line="760" w:lineRule="atLeast"/>
        <w:ind w:left="420" w:leftChars="0" w:right="0" w:rightChars="0" w:hanging="420" w:firstLineChars="0"/>
        <w:jc w:val="both"/>
        <w:textAlignment w:val="auto"/>
        <w:rPr>
          <w:rFonts w:ascii="Times New Roman" w:hAnsi="Times New Roman" w:eastAsia="黑体"/>
          <w:sz w:val="36"/>
          <w:szCs w:val="36"/>
        </w:rPr>
      </w:pPr>
      <w:r>
        <w:rPr>
          <w:rFonts w:hint="eastAsia" w:asciiTheme="minorHAnsi" w:hAnsiTheme="minorHAnsi" w:eastAsiaTheme="minorEastAsia" w:cstheme="minorBidi"/>
          <w:bCs/>
          <w:kern w:val="2"/>
          <w:sz w:val="32"/>
          <w:szCs w:val="32"/>
          <w:lang w:val="en-US" w:eastAsia="zh-CN" w:bidi="ar-SA"/>
        </w:rPr>
        <w:t>高校供给侧改革如何树“三观”</w:t>
      </w:r>
    </w:p>
    <w:p>
      <w:pPr>
        <w:keepNext w:val="0"/>
        <w:keepLines w:val="0"/>
        <w:pageBreakBefore w:val="0"/>
        <w:widowControl w:val="0"/>
        <w:numPr>
          <w:ilvl w:val="0"/>
          <w:numId w:val="1"/>
        </w:numPr>
        <w:kinsoku/>
        <w:wordWrap/>
        <w:overflowPunct/>
        <w:topLinePunct w:val="0"/>
        <w:autoSpaceDE/>
        <w:autoSpaceDN/>
        <w:bidi w:val="0"/>
        <w:adjustRightInd/>
        <w:snapToGrid/>
        <w:spacing w:line="760" w:lineRule="atLeast"/>
        <w:ind w:left="420" w:leftChars="0" w:right="0" w:rightChars="0" w:hanging="420" w:firstLineChars="0"/>
        <w:jc w:val="both"/>
        <w:textAlignment w:val="auto"/>
        <w:rPr>
          <w:rFonts w:ascii="Times New Roman" w:hAnsi="Times New Roman" w:eastAsia="黑体"/>
          <w:sz w:val="36"/>
          <w:szCs w:val="36"/>
        </w:rPr>
      </w:pPr>
      <w:r>
        <w:rPr>
          <w:rFonts w:hint="eastAsia" w:asciiTheme="minorHAnsi" w:hAnsiTheme="minorHAnsi" w:eastAsiaTheme="minorEastAsia" w:cstheme="minorBidi"/>
          <w:bCs/>
          <w:kern w:val="2"/>
          <w:sz w:val="32"/>
          <w:szCs w:val="32"/>
          <w:lang w:val="en-US" w:eastAsia="zh-CN" w:bidi="ar-SA"/>
        </w:rPr>
        <w:t>中俄高等教育合作开启崭新篇章</w:t>
      </w:r>
    </w:p>
    <w:p>
      <w:pPr>
        <w:keepNext w:val="0"/>
        <w:keepLines w:val="0"/>
        <w:pageBreakBefore w:val="0"/>
        <w:widowControl w:val="0"/>
        <w:kinsoku/>
        <w:wordWrap/>
        <w:overflowPunct/>
        <w:topLinePunct w:val="0"/>
        <w:autoSpaceDE/>
        <w:autoSpaceDN/>
        <w:bidi w:val="0"/>
        <w:adjustRightInd/>
        <w:snapToGrid/>
        <w:spacing w:after="625" w:afterLines="200" w:line="760" w:lineRule="atLeast"/>
        <w:ind w:left="0" w:leftChars="0" w:right="0" w:rightChars="0" w:firstLine="0" w:firstLineChars="0"/>
        <w:jc w:val="both"/>
        <w:textAlignment w:val="auto"/>
        <w:outlineLvl w:val="9"/>
        <w:rPr>
          <w:rFonts w:hint="eastAsia" w:eastAsiaTheme="min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left"/>
        <w:textAlignment w:val="auto"/>
        <w:outlineLvl w:val="9"/>
        <w:rPr>
          <w:rFonts w:hint="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469" w:afterLines="150" w:line="240" w:lineRule="auto"/>
        <w:ind w:left="0" w:leftChars="0" w:right="0" w:rightChars="0" w:firstLine="0" w:firstLineChars="0"/>
        <w:jc w:val="both"/>
        <w:textAlignment w:val="auto"/>
        <w:outlineLvl w:val="9"/>
        <w:rPr>
          <w:rFonts w:hint="eastAsia" w:eastAsia="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469" w:afterLines="150" w:line="240" w:lineRule="auto"/>
        <w:ind w:left="0" w:leftChars="0" w:right="0" w:rightChars="0" w:firstLine="0" w:firstLineChars="0"/>
        <w:jc w:val="both"/>
        <w:textAlignment w:val="auto"/>
        <w:outlineLvl w:val="9"/>
        <w:rPr>
          <w:rFonts w:hint="eastAsia" w:eastAsia="宋体"/>
          <w:b/>
          <w:bCs/>
          <w:sz w:val="24"/>
          <w:szCs w:val="24"/>
          <w:lang w:val="en-US" w:eastAsia="zh-CN"/>
        </w:rPr>
      </w:pPr>
      <w:r>
        <w:rPr>
          <w:rFonts w:hint="eastAsia" w:eastAsia="宋体"/>
          <w:b/>
          <w:bCs/>
          <w:sz w:val="24"/>
          <w:szCs w:val="24"/>
          <w:lang w:val="en-US" w:eastAsia="zh-CN"/>
        </w:rPr>
        <w:t>编者按：</w:t>
      </w:r>
    </w:p>
    <w:p>
      <w:pPr>
        <w:keepNext w:val="0"/>
        <w:keepLines w:val="0"/>
        <w:pageBreakBefore w:val="0"/>
        <w:widowControl w:val="0"/>
        <w:kinsoku/>
        <w:wordWrap/>
        <w:overflowPunct/>
        <w:topLinePunct w:val="0"/>
        <w:autoSpaceDE/>
        <w:autoSpaceDN/>
        <w:bidi w:val="0"/>
        <w:adjustRightInd/>
        <w:snapToGrid/>
        <w:spacing w:after="469" w:afterLines="150" w:line="360" w:lineRule="auto"/>
        <w:ind w:left="0" w:leftChars="0" w:right="0" w:rightChars="0" w:firstLine="560" w:firstLineChars="200"/>
        <w:jc w:val="both"/>
        <w:textAlignment w:val="auto"/>
        <w:outlineLvl w:val="9"/>
        <w:rPr>
          <w:rFonts w:hint="eastAsia" w:eastAsia="宋体"/>
          <w:b w:val="0"/>
          <w:bCs w:val="0"/>
          <w:sz w:val="32"/>
          <w:szCs w:val="32"/>
          <w:lang w:val="en-US" w:eastAsia="zh-CN"/>
        </w:rPr>
      </w:pPr>
      <w:r>
        <w:rPr>
          <w:rFonts w:hint="eastAsia" w:eastAsia="宋体"/>
          <w:b w:val="0"/>
          <w:bCs w:val="0"/>
          <w:sz w:val="28"/>
          <w:szCs w:val="28"/>
          <w:lang w:val="en-US" w:eastAsia="zh-CN"/>
        </w:rPr>
        <w:t>这是一个信息爆炸的时代，也是一个知识快速更新的时代。如何有选择的接受信息和更新知识正考验着我们的学习能力。高等教育的改革与发展亦日新月异，为更好、更及时地收集高等教育改革发展的信息，适应高等教育发展新形势，为学校工作提供参考，高教研究所从本学期开始尝试不定期收集编发《高教信息参考》，以期对各位领导和部门工作有所帮助。限于人员和视角，所收编信息不一定能很好满足需要，期望得到批评指正，我们将竭诚做好服务。</w:t>
      </w:r>
    </w:p>
    <w:p>
      <w:pPr>
        <w:keepNext w:val="0"/>
        <w:keepLines w:val="0"/>
        <w:pageBreakBefore w:val="0"/>
        <w:widowControl w:val="0"/>
        <w:kinsoku/>
        <w:wordWrap/>
        <w:overflowPunct/>
        <w:topLinePunct w:val="0"/>
        <w:autoSpaceDE/>
        <w:autoSpaceDN/>
        <w:bidi w:val="0"/>
        <w:adjustRightInd/>
        <w:snapToGrid/>
        <w:spacing w:after="625" w:afterLines="200" w:line="360" w:lineRule="auto"/>
        <w:ind w:left="0" w:leftChars="0" w:right="0" w:rightChars="0" w:firstLine="0" w:firstLineChars="0"/>
        <w:jc w:val="both"/>
        <w:textAlignment w:val="auto"/>
        <w:outlineLvl w:val="9"/>
        <w:rPr>
          <w:rFonts w:hint="eastAsia" w:eastAsia="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pPr>
      <w:r>
        <w:rPr>
          <w:rFonts w:hint="eastAsia"/>
          <w:b/>
          <w:bCs/>
          <w:sz w:val="40"/>
          <w:szCs w:val="40"/>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40"/>
          <w:szCs w:val="40"/>
          <w:lang w:val="en-US" w:eastAsia="zh-CN"/>
        </w:rPr>
      </w:pPr>
      <w:r>
        <w:rPr>
          <w:rFonts w:hint="eastAsia"/>
          <w:b/>
          <w:bCs/>
          <w:sz w:val="36"/>
          <w:szCs w:val="36"/>
          <w:lang w:val="en-US" w:eastAsia="zh-CN"/>
        </w:rPr>
        <w:t>【政策速递】</w:t>
      </w:r>
    </w:p>
    <w:p>
      <w:pPr>
        <w:pStyle w:val="5"/>
        <w:tabs>
          <w:tab w:val="right" w:leader="dot" w:pos="8306"/>
        </w:tabs>
        <w:rPr>
          <w:sz w:val="32"/>
          <w:szCs w:val="32"/>
        </w:rPr>
      </w:pPr>
      <w:r>
        <w:rPr>
          <w:rFonts w:hint="eastAsia"/>
          <w:b/>
          <w:bCs/>
          <w:sz w:val="36"/>
          <w:szCs w:val="36"/>
          <w:lang w:val="en-US" w:eastAsia="zh-CN"/>
        </w:rPr>
        <w:fldChar w:fldCharType="begin"/>
      </w:r>
      <w:r>
        <w:rPr>
          <w:rFonts w:hint="eastAsia"/>
          <w:b/>
          <w:bCs/>
          <w:sz w:val="36"/>
          <w:szCs w:val="36"/>
          <w:lang w:val="en-US" w:eastAsia="zh-CN"/>
        </w:rPr>
        <w:instrText xml:space="preserve">TOC \o "1-2" \h \u </w:instrText>
      </w:r>
      <w:r>
        <w:rPr>
          <w:rFonts w:hint="eastAsia"/>
          <w:b/>
          <w:bCs/>
          <w:sz w:val="36"/>
          <w:szCs w:val="36"/>
          <w:lang w:val="en-US" w:eastAsia="zh-CN"/>
        </w:rPr>
        <w:fldChar w:fldCharType="separate"/>
      </w:r>
      <w:r>
        <w:rPr>
          <w:rFonts w:hint="eastAsia"/>
          <w:bCs/>
          <w:sz w:val="32"/>
          <w:szCs w:val="32"/>
          <w:lang w:val="en-US" w:eastAsia="zh-CN"/>
        </w:rPr>
        <w:fldChar w:fldCharType="begin"/>
      </w:r>
      <w:r>
        <w:rPr>
          <w:rFonts w:hint="eastAsia"/>
          <w:bCs/>
          <w:sz w:val="32"/>
          <w:szCs w:val="32"/>
          <w:lang w:val="en-US" w:eastAsia="zh-CN"/>
        </w:rPr>
        <w:instrText xml:space="preserve"> HYPERLINK \l _Toc29609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教育部发布高层次人才发展指导意见 向高校放权</w:t>
      </w:r>
      <w:r>
        <w:rPr>
          <w:sz w:val="32"/>
          <w:szCs w:val="32"/>
        </w:rPr>
        <w:tab/>
      </w:r>
      <w:r>
        <w:rPr>
          <w:sz w:val="32"/>
          <w:szCs w:val="32"/>
        </w:rPr>
        <w:fldChar w:fldCharType="begin"/>
      </w:r>
      <w:r>
        <w:rPr>
          <w:sz w:val="32"/>
          <w:szCs w:val="32"/>
        </w:rPr>
        <w:instrText xml:space="preserve"> PAGEREF _Toc29609 </w:instrText>
      </w:r>
      <w:r>
        <w:rPr>
          <w:sz w:val="32"/>
          <w:szCs w:val="32"/>
        </w:rPr>
        <w:fldChar w:fldCharType="separate"/>
      </w:r>
      <w:r>
        <w:rPr>
          <w:sz w:val="32"/>
          <w:szCs w:val="32"/>
        </w:rPr>
        <w:t>1</w:t>
      </w:r>
      <w:r>
        <w:rPr>
          <w:sz w:val="32"/>
          <w:szCs w:val="32"/>
        </w:rPr>
        <w:fldChar w:fldCharType="end"/>
      </w:r>
      <w:r>
        <w:rPr>
          <w:rFonts w:hint="eastAsia"/>
          <w:bCs/>
          <w:sz w:val="32"/>
          <w:szCs w:val="32"/>
          <w:lang w:val="en-US" w:eastAsia="zh-CN"/>
        </w:rPr>
        <w:fldChar w:fldCharType="end"/>
      </w:r>
    </w:p>
    <w:p>
      <w:pPr>
        <w:pStyle w:val="5"/>
        <w:tabs>
          <w:tab w:val="right" w:leader="dot" w:pos="8306"/>
        </w:tabs>
        <w:rPr>
          <w:rFonts w:hint="eastAsia"/>
          <w:bCs/>
          <w:sz w:val="32"/>
          <w:szCs w:val="32"/>
          <w:lang w:val="en-US" w:eastAsia="zh-CN"/>
        </w:rPr>
      </w:pPr>
      <w:r>
        <w:rPr>
          <w:rFonts w:hint="eastAsia"/>
          <w:bCs/>
          <w:sz w:val="32"/>
          <w:szCs w:val="32"/>
          <w:lang w:val="en-US" w:eastAsia="zh-CN"/>
        </w:rPr>
        <w:fldChar w:fldCharType="begin"/>
      </w:r>
      <w:r>
        <w:rPr>
          <w:rFonts w:hint="eastAsia"/>
          <w:bCs/>
          <w:sz w:val="32"/>
          <w:szCs w:val="32"/>
          <w:lang w:val="en-US" w:eastAsia="zh-CN"/>
        </w:rPr>
        <w:instrText xml:space="preserve"> HYPERLINK \l _Toc18213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教育部：教师职称评审权将下放至高校</w:t>
      </w:r>
      <w:r>
        <w:rPr>
          <w:sz w:val="32"/>
          <w:szCs w:val="32"/>
        </w:rPr>
        <w:tab/>
      </w:r>
      <w:r>
        <w:rPr>
          <w:sz w:val="32"/>
          <w:szCs w:val="32"/>
        </w:rPr>
        <w:fldChar w:fldCharType="begin"/>
      </w:r>
      <w:r>
        <w:rPr>
          <w:sz w:val="32"/>
          <w:szCs w:val="32"/>
        </w:rPr>
        <w:instrText xml:space="preserve"> PAGEREF _Toc18213 </w:instrText>
      </w:r>
      <w:r>
        <w:rPr>
          <w:sz w:val="32"/>
          <w:szCs w:val="32"/>
        </w:rPr>
        <w:fldChar w:fldCharType="separate"/>
      </w:r>
      <w:r>
        <w:rPr>
          <w:sz w:val="32"/>
          <w:szCs w:val="32"/>
        </w:rPr>
        <w:t>2</w:t>
      </w:r>
      <w:r>
        <w:rPr>
          <w:sz w:val="32"/>
          <w:szCs w:val="32"/>
        </w:rPr>
        <w:fldChar w:fldCharType="end"/>
      </w:r>
      <w:r>
        <w:rPr>
          <w:rFonts w:hint="eastAsia"/>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r>
        <w:rPr>
          <w:rFonts w:hint="eastAsia"/>
          <w:b/>
          <w:bCs/>
          <w:sz w:val="36"/>
          <w:szCs w:val="36"/>
          <w:lang w:val="en-US" w:eastAsia="zh-CN"/>
        </w:rPr>
        <w:t>【高教动态】</w:t>
      </w:r>
    </w:p>
    <w:p>
      <w:pPr>
        <w:pStyle w:val="5"/>
        <w:tabs>
          <w:tab w:val="right" w:leader="dot" w:pos="8306"/>
        </w:tabs>
        <w:rPr>
          <w:sz w:val="32"/>
          <w:szCs w:val="32"/>
        </w:rPr>
      </w:pPr>
      <w:r>
        <w:rPr>
          <w:rFonts w:hint="eastAsia"/>
          <w:bCs/>
          <w:sz w:val="32"/>
          <w:szCs w:val="32"/>
          <w:lang w:val="en-US" w:eastAsia="zh-CN"/>
        </w:rPr>
        <w:fldChar w:fldCharType="begin"/>
      </w:r>
      <w:r>
        <w:rPr>
          <w:rFonts w:hint="eastAsia"/>
          <w:bCs/>
          <w:sz w:val="32"/>
          <w:szCs w:val="32"/>
          <w:lang w:val="en-US" w:eastAsia="zh-CN"/>
        </w:rPr>
        <w:instrText xml:space="preserve"> HYPERLINK \l _Toc1910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北京林业大学实施经典课程导读计划</w:t>
      </w:r>
      <w:r>
        <w:rPr>
          <w:sz w:val="32"/>
          <w:szCs w:val="32"/>
        </w:rPr>
        <w:tab/>
      </w:r>
      <w:r>
        <w:rPr>
          <w:sz w:val="32"/>
          <w:szCs w:val="32"/>
        </w:rPr>
        <w:fldChar w:fldCharType="begin"/>
      </w:r>
      <w:r>
        <w:rPr>
          <w:sz w:val="32"/>
          <w:szCs w:val="32"/>
        </w:rPr>
        <w:instrText xml:space="preserve"> PAGEREF _Toc1910 </w:instrText>
      </w:r>
      <w:r>
        <w:rPr>
          <w:sz w:val="32"/>
          <w:szCs w:val="32"/>
        </w:rPr>
        <w:fldChar w:fldCharType="separate"/>
      </w:r>
      <w:r>
        <w:rPr>
          <w:sz w:val="32"/>
          <w:szCs w:val="32"/>
        </w:rPr>
        <w:t>3</w:t>
      </w:r>
      <w:r>
        <w:rPr>
          <w:sz w:val="32"/>
          <w:szCs w:val="32"/>
        </w:rPr>
        <w:fldChar w:fldCharType="end"/>
      </w:r>
      <w:r>
        <w:rPr>
          <w:rFonts w:hint="eastAsia"/>
          <w:bCs/>
          <w:sz w:val="32"/>
          <w:szCs w:val="32"/>
          <w:lang w:val="en-US" w:eastAsia="zh-CN"/>
        </w:rPr>
        <w:fldChar w:fldCharType="end"/>
      </w:r>
    </w:p>
    <w:p>
      <w:pPr>
        <w:pStyle w:val="5"/>
        <w:tabs>
          <w:tab w:val="right" w:leader="dot" w:pos="8306"/>
        </w:tabs>
        <w:rPr>
          <w:sz w:val="32"/>
          <w:szCs w:val="32"/>
        </w:rPr>
      </w:pPr>
      <w:r>
        <w:rPr>
          <w:rFonts w:hint="eastAsia"/>
          <w:bCs/>
          <w:sz w:val="32"/>
          <w:szCs w:val="32"/>
          <w:lang w:val="en-US" w:eastAsia="zh-CN"/>
        </w:rPr>
        <w:fldChar w:fldCharType="begin"/>
      </w:r>
      <w:r>
        <w:rPr>
          <w:rFonts w:hint="eastAsia"/>
          <w:bCs/>
          <w:sz w:val="32"/>
          <w:szCs w:val="32"/>
          <w:lang w:val="en-US" w:eastAsia="zh-CN"/>
        </w:rPr>
        <w:instrText xml:space="preserve"> HYPERLINK \l _Toc28518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华中科大本科生学分不达标将转专科</w:t>
      </w:r>
      <w:r>
        <w:rPr>
          <w:sz w:val="32"/>
          <w:szCs w:val="32"/>
        </w:rPr>
        <w:tab/>
      </w:r>
      <w:r>
        <w:rPr>
          <w:sz w:val="32"/>
          <w:szCs w:val="32"/>
        </w:rPr>
        <w:fldChar w:fldCharType="begin"/>
      </w:r>
      <w:r>
        <w:rPr>
          <w:sz w:val="32"/>
          <w:szCs w:val="32"/>
        </w:rPr>
        <w:instrText xml:space="preserve"> PAGEREF _Toc28518 </w:instrText>
      </w:r>
      <w:r>
        <w:rPr>
          <w:sz w:val="32"/>
          <w:szCs w:val="32"/>
        </w:rPr>
        <w:fldChar w:fldCharType="separate"/>
      </w:r>
      <w:r>
        <w:rPr>
          <w:sz w:val="32"/>
          <w:szCs w:val="32"/>
        </w:rPr>
        <w:t>4</w:t>
      </w:r>
      <w:r>
        <w:rPr>
          <w:sz w:val="32"/>
          <w:szCs w:val="32"/>
        </w:rPr>
        <w:fldChar w:fldCharType="end"/>
      </w:r>
      <w:r>
        <w:rPr>
          <w:rFonts w:hint="eastAsia"/>
          <w:bCs/>
          <w:sz w:val="32"/>
          <w:szCs w:val="32"/>
          <w:lang w:val="en-US" w:eastAsia="zh-CN"/>
        </w:rPr>
        <w:fldChar w:fldCharType="end"/>
      </w:r>
    </w:p>
    <w:p>
      <w:pPr>
        <w:pStyle w:val="5"/>
        <w:tabs>
          <w:tab w:val="right" w:leader="dot" w:pos="8306"/>
        </w:tabs>
        <w:rPr>
          <w:sz w:val="32"/>
          <w:szCs w:val="32"/>
        </w:rPr>
      </w:pPr>
      <w:r>
        <w:rPr>
          <w:rFonts w:hint="eastAsia"/>
          <w:bCs/>
          <w:sz w:val="32"/>
          <w:szCs w:val="32"/>
          <w:lang w:val="en-US" w:eastAsia="zh-CN"/>
        </w:rPr>
        <w:fldChar w:fldCharType="begin"/>
      </w:r>
      <w:r>
        <w:rPr>
          <w:rFonts w:hint="eastAsia"/>
          <w:bCs/>
          <w:sz w:val="32"/>
          <w:szCs w:val="32"/>
          <w:lang w:val="en-US" w:eastAsia="zh-CN"/>
        </w:rPr>
        <w:instrText xml:space="preserve"> HYPERLINK \l _Toc29022 </w:instrText>
      </w:r>
      <w:r>
        <w:rPr>
          <w:rFonts w:hint="eastAsia"/>
          <w:bCs/>
          <w:sz w:val="32"/>
          <w:szCs w:val="32"/>
          <w:lang w:val="en-US" w:eastAsia="zh-CN"/>
        </w:rPr>
        <w:fldChar w:fldCharType="separate"/>
      </w:r>
      <w:r>
        <w:rPr>
          <w:rFonts w:hint="eastAsia"/>
          <w:bCs/>
          <w:sz w:val="32"/>
          <w:szCs w:val="32"/>
          <w:lang w:val="en-US" w:eastAsia="zh-CN"/>
        </w:rPr>
        <w:t>重庆市积极促进高校科技成果转移转化</w:t>
      </w:r>
      <w:r>
        <w:rPr>
          <w:sz w:val="32"/>
          <w:szCs w:val="32"/>
        </w:rPr>
        <w:tab/>
      </w:r>
      <w:r>
        <w:rPr>
          <w:sz w:val="32"/>
          <w:szCs w:val="32"/>
        </w:rPr>
        <w:fldChar w:fldCharType="begin"/>
      </w:r>
      <w:r>
        <w:rPr>
          <w:sz w:val="32"/>
          <w:szCs w:val="32"/>
        </w:rPr>
        <w:instrText xml:space="preserve"> PAGEREF _Toc29022 </w:instrText>
      </w:r>
      <w:r>
        <w:rPr>
          <w:sz w:val="32"/>
          <w:szCs w:val="32"/>
        </w:rPr>
        <w:fldChar w:fldCharType="separate"/>
      </w:r>
      <w:r>
        <w:rPr>
          <w:sz w:val="32"/>
          <w:szCs w:val="32"/>
        </w:rPr>
        <w:t>5</w:t>
      </w:r>
      <w:r>
        <w:rPr>
          <w:sz w:val="32"/>
          <w:szCs w:val="32"/>
        </w:rPr>
        <w:fldChar w:fldCharType="end"/>
      </w:r>
      <w:r>
        <w:rPr>
          <w:rFonts w:hint="eastAsia"/>
          <w:bCs/>
          <w:sz w:val="32"/>
          <w:szCs w:val="32"/>
          <w:lang w:val="en-US" w:eastAsia="zh-CN"/>
        </w:rPr>
        <w:fldChar w:fldCharType="end"/>
      </w:r>
    </w:p>
    <w:p>
      <w:pPr>
        <w:pStyle w:val="5"/>
        <w:tabs>
          <w:tab w:val="right" w:leader="dot" w:pos="8306"/>
        </w:tabs>
        <w:rPr>
          <w:rFonts w:hint="eastAsia"/>
          <w:bCs/>
          <w:sz w:val="32"/>
          <w:szCs w:val="32"/>
          <w:lang w:val="en-US" w:eastAsia="zh-CN"/>
        </w:rPr>
      </w:pPr>
      <w:r>
        <w:rPr>
          <w:rFonts w:hint="eastAsia"/>
          <w:bCs/>
          <w:sz w:val="32"/>
          <w:szCs w:val="32"/>
          <w:lang w:val="en-US" w:eastAsia="zh-CN"/>
        </w:rPr>
        <w:fldChar w:fldCharType="begin"/>
      </w:r>
      <w:r>
        <w:rPr>
          <w:rFonts w:hint="eastAsia"/>
          <w:bCs/>
          <w:sz w:val="32"/>
          <w:szCs w:val="32"/>
          <w:lang w:val="en-US" w:eastAsia="zh-CN"/>
        </w:rPr>
        <w:instrText xml:space="preserve"> HYPERLINK \l _Toc24778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新疆出台高等学校本科教育教学改革方案</w:t>
      </w:r>
      <w:r>
        <w:rPr>
          <w:sz w:val="32"/>
          <w:szCs w:val="32"/>
        </w:rPr>
        <w:tab/>
      </w:r>
      <w:r>
        <w:rPr>
          <w:sz w:val="32"/>
          <w:szCs w:val="32"/>
        </w:rPr>
        <w:fldChar w:fldCharType="begin"/>
      </w:r>
      <w:r>
        <w:rPr>
          <w:sz w:val="32"/>
          <w:szCs w:val="32"/>
        </w:rPr>
        <w:instrText xml:space="preserve"> PAGEREF _Toc24778 </w:instrText>
      </w:r>
      <w:r>
        <w:rPr>
          <w:sz w:val="32"/>
          <w:szCs w:val="32"/>
        </w:rPr>
        <w:fldChar w:fldCharType="separate"/>
      </w:r>
      <w:r>
        <w:rPr>
          <w:sz w:val="32"/>
          <w:szCs w:val="32"/>
        </w:rPr>
        <w:t>6</w:t>
      </w:r>
      <w:r>
        <w:rPr>
          <w:sz w:val="32"/>
          <w:szCs w:val="32"/>
        </w:rPr>
        <w:fldChar w:fldCharType="end"/>
      </w:r>
      <w:r>
        <w:rPr>
          <w:rFonts w:hint="eastAsia"/>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r>
        <w:rPr>
          <w:rFonts w:hint="eastAsia"/>
          <w:b/>
          <w:bCs/>
          <w:sz w:val="36"/>
          <w:szCs w:val="36"/>
          <w:lang w:val="en-US" w:eastAsia="zh-CN"/>
        </w:rPr>
        <w:t>【学术视点】</w:t>
      </w:r>
    </w:p>
    <w:p>
      <w:pPr>
        <w:pStyle w:val="5"/>
        <w:tabs>
          <w:tab w:val="right" w:leader="dot" w:pos="8306"/>
        </w:tabs>
        <w:rPr>
          <w:sz w:val="32"/>
          <w:szCs w:val="32"/>
        </w:rPr>
      </w:pPr>
      <w:r>
        <w:rPr>
          <w:rFonts w:hint="eastAsia"/>
          <w:bCs/>
          <w:sz w:val="32"/>
          <w:szCs w:val="32"/>
          <w:lang w:val="en-US" w:eastAsia="zh-CN"/>
        </w:rPr>
        <w:fldChar w:fldCharType="begin"/>
      </w:r>
      <w:r>
        <w:rPr>
          <w:rFonts w:hint="eastAsia"/>
          <w:bCs/>
          <w:sz w:val="32"/>
          <w:szCs w:val="32"/>
          <w:lang w:val="en-US" w:eastAsia="zh-CN"/>
        </w:rPr>
        <w:instrText xml:space="preserve"> HYPERLINK \l _Toc2679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高校供给侧改革如何树“三观”</w:t>
      </w:r>
      <w:r>
        <w:rPr>
          <w:sz w:val="32"/>
          <w:szCs w:val="32"/>
        </w:rPr>
        <w:tab/>
      </w:r>
      <w:r>
        <w:rPr>
          <w:sz w:val="32"/>
          <w:szCs w:val="32"/>
        </w:rPr>
        <w:fldChar w:fldCharType="begin"/>
      </w:r>
      <w:r>
        <w:rPr>
          <w:sz w:val="32"/>
          <w:szCs w:val="32"/>
        </w:rPr>
        <w:instrText xml:space="preserve"> PAGEREF _Toc2679 </w:instrText>
      </w:r>
      <w:r>
        <w:rPr>
          <w:sz w:val="32"/>
          <w:szCs w:val="32"/>
        </w:rPr>
        <w:fldChar w:fldCharType="separate"/>
      </w:r>
      <w:r>
        <w:rPr>
          <w:sz w:val="32"/>
          <w:szCs w:val="32"/>
        </w:rPr>
        <w:t>7</w:t>
      </w:r>
      <w:r>
        <w:rPr>
          <w:sz w:val="32"/>
          <w:szCs w:val="32"/>
        </w:rPr>
        <w:fldChar w:fldCharType="end"/>
      </w:r>
      <w:r>
        <w:rPr>
          <w:rFonts w:hint="eastAsia"/>
          <w:bCs/>
          <w:sz w:val="32"/>
          <w:szCs w:val="32"/>
          <w:lang w:val="en-US" w:eastAsia="zh-CN"/>
        </w:rPr>
        <w:fldChar w:fldCharType="end"/>
      </w:r>
    </w:p>
    <w:p>
      <w:pPr>
        <w:pStyle w:val="5"/>
        <w:tabs>
          <w:tab w:val="right" w:leader="dot" w:pos="8306"/>
        </w:tabs>
        <w:rPr>
          <w:rFonts w:hint="eastAsia"/>
          <w:bCs/>
          <w:sz w:val="32"/>
          <w:szCs w:val="32"/>
          <w:lang w:val="en-US" w:eastAsia="zh-CN"/>
        </w:rPr>
      </w:pPr>
      <w:r>
        <w:rPr>
          <w:rFonts w:hint="eastAsia"/>
          <w:bCs/>
          <w:sz w:val="32"/>
          <w:szCs w:val="32"/>
          <w:lang w:val="en-US" w:eastAsia="zh-CN"/>
        </w:rPr>
        <w:fldChar w:fldCharType="begin"/>
      </w:r>
      <w:r>
        <w:rPr>
          <w:rFonts w:hint="eastAsia"/>
          <w:bCs/>
          <w:sz w:val="32"/>
          <w:szCs w:val="32"/>
          <w:lang w:val="en-US" w:eastAsia="zh-CN"/>
        </w:rPr>
        <w:instrText xml:space="preserve"> HYPERLINK \l _Toc24015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提升农业院校思政教育实效</w:t>
      </w:r>
      <w:r>
        <w:rPr>
          <w:sz w:val="32"/>
          <w:szCs w:val="32"/>
        </w:rPr>
        <w:tab/>
      </w:r>
      <w:r>
        <w:rPr>
          <w:sz w:val="32"/>
          <w:szCs w:val="32"/>
        </w:rPr>
        <w:fldChar w:fldCharType="begin"/>
      </w:r>
      <w:r>
        <w:rPr>
          <w:sz w:val="32"/>
          <w:szCs w:val="32"/>
        </w:rPr>
        <w:instrText xml:space="preserve"> PAGEREF _Toc24015 </w:instrText>
      </w:r>
      <w:r>
        <w:rPr>
          <w:sz w:val="32"/>
          <w:szCs w:val="32"/>
        </w:rPr>
        <w:fldChar w:fldCharType="separate"/>
      </w:r>
      <w:r>
        <w:rPr>
          <w:sz w:val="32"/>
          <w:szCs w:val="32"/>
        </w:rPr>
        <w:t>8</w:t>
      </w:r>
      <w:r>
        <w:rPr>
          <w:sz w:val="32"/>
          <w:szCs w:val="32"/>
        </w:rPr>
        <w:fldChar w:fldCharType="end"/>
      </w:r>
      <w:r>
        <w:rPr>
          <w:rFonts w:hint="eastAsia"/>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r>
        <w:rPr>
          <w:rFonts w:hint="eastAsia"/>
          <w:b/>
          <w:bCs/>
          <w:sz w:val="36"/>
          <w:szCs w:val="36"/>
          <w:lang w:val="en-US" w:eastAsia="zh-CN"/>
        </w:rPr>
        <w:t>【海外来风】</w:t>
      </w:r>
    </w:p>
    <w:p>
      <w:pPr>
        <w:pStyle w:val="5"/>
        <w:tabs>
          <w:tab w:val="right" w:leader="dot" w:pos="8306"/>
        </w:tabs>
        <w:rPr>
          <w:sz w:val="32"/>
          <w:szCs w:val="32"/>
        </w:rPr>
      </w:pPr>
      <w:r>
        <w:rPr>
          <w:rFonts w:hint="eastAsia"/>
          <w:bCs/>
          <w:sz w:val="32"/>
          <w:szCs w:val="32"/>
          <w:lang w:val="en-US" w:eastAsia="zh-CN"/>
        </w:rPr>
        <w:fldChar w:fldCharType="begin"/>
      </w:r>
      <w:r>
        <w:rPr>
          <w:rFonts w:hint="eastAsia"/>
          <w:bCs/>
          <w:sz w:val="32"/>
          <w:szCs w:val="32"/>
          <w:lang w:val="en-US" w:eastAsia="zh-CN"/>
        </w:rPr>
        <w:instrText xml:space="preserve"> HYPERLINK \l _Toc2585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中俄高等教育合作开启崭新篇章</w:t>
      </w:r>
      <w:r>
        <w:rPr>
          <w:sz w:val="32"/>
          <w:szCs w:val="32"/>
        </w:rPr>
        <w:tab/>
      </w:r>
      <w:r>
        <w:rPr>
          <w:sz w:val="32"/>
          <w:szCs w:val="32"/>
        </w:rPr>
        <w:fldChar w:fldCharType="begin"/>
      </w:r>
      <w:r>
        <w:rPr>
          <w:sz w:val="32"/>
          <w:szCs w:val="32"/>
        </w:rPr>
        <w:instrText xml:space="preserve"> PAGEREF _Toc2585 </w:instrText>
      </w:r>
      <w:r>
        <w:rPr>
          <w:sz w:val="32"/>
          <w:szCs w:val="32"/>
        </w:rPr>
        <w:fldChar w:fldCharType="separate"/>
      </w:r>
      <w:r>
        <w:rPr>
          <w:sz w:val="32"/>
          <w:szCs w:val="32"/>
        </w:rPr>
        <w:t>10</w:t>
      </w:r>
      <w:r>
        <w:rPr>
          <w:sz w:val="32"/>
          <w:szCs w:val="32"/>
        </w:rPr>
        <w:fldChar w:fldCharType="end"/>
      </w:r>
      <w:r>
        <w:rPr>
          <w:rFonts w:hint="eastAsia"/>
          <w:bCs/>
          <w:sz w:val="32"/>
          <w:szCs w:val="32"/>
          <w:lang w:val="en-US" w:eastAsia="zh-CN"/>
        </w:rPr>
        <w:fldChar w:fldCharType="end"/>
      </w:r>
    </w:p>
    <w:p>
      <w:pPr>
        <w:pStyle w:val="5"/>
        <w:tabs>
          <w:tab w:val="right" w:leader="dot" w:pos="8306"/>
        </w:tabs>
        <w:rPr>
          <w:rFonts w:hint="eastAsia"/>
          <w:bCs/>
          <w:sz w:val="32"/>
          <w:szCs w:val="32"/>
          <w:lang w:val="en-US" w:eastAsia="zh-CN"/>
        </w:rPr>
      </w:pPr>
      <w:r>
        <w:rPr>
          <w:rFonts w:hint="eastAsia"/>
          <w:bCs/>
          <w:sz w:val="32"/>
          <w:szCs w:val="32"/>
          <w:lang w:val="en-US" w:eastAsia="zh-CN"/>
        </w:rPr>
        <w:fldChar w:fldCharType="begin"/>
      </w:r>
      <w:r>
        <w:rPr>
          <w:rFonts w:hint="eastAsia"/>
          <w:bCs/>
          <w:sz w:val="32"/>
          <w:szCs w:val="32"/>
          <w:lang w:val="en-US" w:eastAsia="zh-CN"/>
        </w:rPr>
        <w:instrText xml:space="preserve"> HYPERLINK \l _Toc3060 </w:instrText>
      </w:r>
      <w:r>
        <w:rPr>
          <w:rFonts w:hint="eastAsia"/>
          <w:bCs/>
          <w:sz w:val="32"/>
          <w:szCs w:val="32"/>
          <w:lang w:val="en-US" w:eastAsia="zh-CN"/>
        </w:rPr>
        <w:fldChar w:fldCharType="separate"/>
      </w:r>
      <w:r>
        <w:rPr>
          <w:rFonts w:hint="eastAsia" w:asciiTheme="minorHAnsi" w:hAnsiTheme="minorHAnsi" w:eastAsiaTheme="minorEastAsia" w:cstheme="minorBidi"/>
          <w:bCs/>
          <w:kern w:val="2"/>
          <w:sz w:val="32"/>
          <w:szCs w:val="32"/>
          <w:lang w:val="en-US" w:eastAsia="zh-CN" w:bidi="ar-SA"/>
        </w:rPr>
        <w:t>新西兰调整高等教育模式</w:t>
      </w:r>
      <w:r>
        <w:rPr>
          <w:rFonts w:hint="eastAsia" w:cstheme="minorBidi"/>
          <w:bCs/>
          <w:kern w:val="2"/>
          <w:sz w:val="32"/>
          <w:szCs w:val="32"/>
          <w:lang w:val="en-US" w:eastAsia="zh-CN" w:bidi="ar-SA"/>
        </w:rPr>
        <w:t>应</w:t>
      </w:r>
      <w:r>
        <w:rPr>
          <w:rFonts w:hint="eastAsia" w:asciiTheme="minorHAnsi" w:hAnsiTheme="minorHAnsi" w:eastAsiaTheme="minorEastAsia" w:cstheme="minorBidi"/>
          <w:bCs/>
          <w:kern w:val="2"/>
          <w:sz w:val="32"/>
          <w:szCs w:val="32"/>
          <w:lang w:val="en-US" w:eastAsia="zh-CN" w:bidi="ar-SA"/>
        </w:rPr>
        <w:t>对劳动力市场变化</w:t>
      </w:r>
      <w:r>
        <w:rPr>
          <w:sz w:val="32"/>
          <w:szCs w:val="32"/>
        </w:rPr>
        <w:tab/>
      </w:r>
      <w:r>
        <w:rPr>
          <w:sz w:val="32"/>
          <w:szCs w:val="32"/>
        </w:rPr>
        <w:fldChar w:fldCharType="begin"/>
      </w:r>
      <w:r>
        <w:rPr>
          <w:sz w:val="32"/>
          <w:szCs w:val="32"/>
        </w:rPr>
        <w:instrText xml:space="preserve"> PAGEREF _Toc3060 </w:instrText>
      </w:r>
      <w:r>
        <w:rPr>
          <w:sz w:val="32"/>
          <w:szCs w:val="32"/>
        </w:rPr>
        <w:fldChar w:fldCharType="separate"/>
      </w:r>
      <w:r>
        <w:rPr>
          <w:sz w:val="32"/>
          <w:szCs w:val="32"/>
        </w:rPr>
        <w:t>11</w:t>
      </w:r>
      <w:r>
        <w:rPr>
          <w:sz w:val="32"/>
          <w:szCs w:val="32"/>
        </w:rPr>
        <w:fldChar w:fldCharType="end"/>
      </w:r>
      <w:r>
        <w:rPr>
          <w:rFonts w:hint="eastAsia"/>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r>
        <w:rPr>
          <w:rFonts w:hint="eastAsia"/>
          <w:b/>
          <w:bCs/>
          <w:sz w:val="36"/>
          <w:szCs w:val="36"/>
          <w:lang w:val="en-US" w:eastAsia="zh-CN"/>
        </w:rPr>
        <w:t>【经典导读】</w:t>
      </w:r>
    </w:p>
    <w:p>
      <w:pPr>
        <w:pStyle w:val="5"/>
        <w:tabs>
          <w:tab w:val="right" w:leader="dot" w:pos="8306"/>
        </w:tabs>
        <w:rPr>
          <w:sz w:val="36"/>
          <w:szCs w:val="36"/>
        </w:rPr>
      </w:pPr>
      <w:r>
        <w:rPr>
          <w:rFonts w:hint="eastAsia"/>
          <w:bCs/>
          <w:sz w:val="32"/>
          <w:szCs w:val="32"/>
          <w:lang w:val="en-US" w:eastAsia="zh-CN"/>
        </w:rPr>
        <w:fldChar w:fldCharType="begin"/>
      </w:r>
      <w:r>
        <w:rPr>
          <w:rFonts w:hint="eastAsia"/>
          <w:bCs/>
          <w:sz w:val="32"/>
          <w:szCs w:val="32"/>
          <w:lang w:val="en-US" w:eastAsia="zh-CN"/>
        </w:rPr>
        <w:instrText xml:space="preserve"> HYPERLINK \l _Toc17709 </w:instrText>
      </w:r>
      <w:r>
        <w:rPr>
          <w:rFonts w:hint="eastAsia"/>
          <w:bCs/>
          <w:sz w:val="32"/>
          <w:szCs w:val="32"/>
          <w:lang w:val="en-US" w:eastAsia="zh-CN"/>
        </w:rPr>
        <w:fldChar w:fldCharType="separate"/>
      </w:r>
      <w:r>
        <w:rPr>
          <w:rFonts w:hint="eastAsia"/>
          <w:bCs/>
          <w:sz w:val="32"/>
          <w:szCs w:val="32"/>
        </w:rPr>
        <w:t>走出象牙塔</w:t>
      </w:r>
      <w:r>
        <w:rPr>
          <w:rFonts w:hint="eastAsia"/>
          <w:bCs/>
          <w:sz w:val="32"/>
          <w:szCs w:val="32"/>
          <w:lang w:eastAsia="zh-CN"/>
        </w:rPr>
        <w:t>：</w:t>
      </w:r>
      <w:r>
        <w:rPr>
          <w:rFonts w:hint="eastAsia"/>
          <w:bCs/>
          <w:sz w:val="32"/>
          <w:szCs w:val="32"/>
        </w:rPr>
        <w:t>现代大学的社会责任</w:t>
      </w:r>
      <w:r>
        <w:rPr>
          <w:sz w:val="32"/>
          <w:szCs w:val="32"/>
        </w:rPr>
        <w:tab/>
      </w:r>
      <w:r>
        <w:rPr>
          <w:sz w:val="32"/>
          <w:szCs w:val="32"/>
        </w:rPr>
        <w:fldChar w:fldCharType="begin"/>
      </w:r>
      <w:r>
        <w:rPr>
          <w:sz w:val="32"/>
          <w:szCs w:val="32"/>
        </w:rPr>
        <w:instrText xml:space="preserve"> PAGEREF _Toc17709 </w:instrText>
      </w:r>
      <w:r>
        <w:rPr>
          <w:sz w:val="32"/>
          <w:szCs w:val="32"/>
        </w:rPr>
        <w:fldChar w:fldCharType="separate"/>
      </w:r>
      <w:r>
        <w:rPr>
          <w:sz w:val="32"/>
          <w:szCs w:val="32"/>
        </w:rPr>
        <w:t>12</w:t>
      </w:r>
      <w:r>
        <w:rPr>
          <w:sz w:val="32"/>
          <w:szCs w:val="32"/>
        </w:rPr>
        <w:fldChar w:fldCharType="end"/>
      </w:r>
      <w:r>
        <w:rPr>
          <w:rFonts w:hint="eastAsia"/>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r>
        <w:rPr>
          <w:rFonts w:hint="eastAsia"/>
          <w:bCs/>
          <w:sz w:val="36"/>
          <w:szCs w:val="36"/>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sectPr>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r>
        <w:rPr>
          <w:rFonts w:hint="eastAsia"/>
          <w:b/>
          <w:bCs/>
          <w:sz w:val="36"/>
          <w:szCs w:val="36"/>
          <w:lang w:val="en-US" w:eastAsia="zh-CN"/>
        </w:rPr>
        <w:t>【政策速递】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480" w:lineRule="atLeast"/>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0" w:name="_Toc29609"/>
      <w:r>
        <w:rPr>
          <w:rFonts w:hint="eastAsia" w:asciiTheme="minorHAnsi" w:hAnsiTheme="minorHAnsi" w:eastAsiaTheme="minorEastAsia" w:cstheme="minorBidi"/>
          <w:b/>
          <w:bCs/>
          <w:kern w:val="2"/>
          <w:sz w:val="32"/>
          <w:szCs w:val="32"/>
          <w:lang w:val="en-US" w:eastAsia="zh-CN" w:bidi="ar-SA"/>
        </w:rPr>
        <w:t>教育部发布高层次</w:t>
      </w:r>
      <w:bookmarkStart w:id="1" w:name="_Toc493489164"/>
      <w:r>
        <w:rPr>
          <w:rFonts w:hint="eastAsia" w:asciiTheme="minorHAnsi" w:hAnsiTheme="minorHAnsi" w:eastAsiaTheme="minorEastAsia" w:cstheme="minorBidi"/>
          <w:b/>
          <w:bCs/>
          <w:kern w:val="2"/>
          <w:sz w:val="32"/>
          <w:szCs w:val="32"/>
          <w:lang w:val="en-US" w:eastAsia="zh-CN" w:bidi="ar-SA"/>
        </w:rPr>
        <w:t>人才发展指导意见</w:t>
      </w:r>
      <w:bookmarkEnd w:id="1"/>
      <w:r>
        <w:rPr>
          <w:rFonts w:hint="eastAsia" w:asciiTheme="minorHAnsi" w:hAnsiTheme="minorHAnsi" w:eastAsiaTheme="minorEastAsia" w:cstheme="minorBidi"/>
          <w:b/>
          <w:bCs/>
          <w:kern w:val="2"/>
          <w:sz w:val="32"/>
          <w:szCs w:val="32"/>
          <w:lang w:val="en-US" w:eastAsia="zh-CN" w:bidi="ar-SA"/>
        </w:rPr>
        <w:t xml:space="preserve"> 向高校放权</w:t>
      </w:r>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both"/>
        <w:textAlignment w:val="auto"/>
        <w:outlineLvl w:val="9"/>
        <w:rPr>
          <w:rFonts w:hint="eastAsia" w:ascii="宋体" w:hAnsi="宋体" w:eastAsia="宋体" w:cs="宋体"/>
          <w:b w:val="0"/>
          <w:bCs w:val="0"/>
          <w:i w:val="0"/>
          <w:caps w:val="0"/>
          <w:color w:val="000000"/>
          <w:spacing w:val="0"/>
          <w:kern w:val="2"/>
          <w:sz w:val="24"/>
          <w:szCs w:val="24"/>
          <w:lang w:val="en-US" w:eastAsia="zh-CN" w:bidi="ar-SA"/>
        </w:rPr>
      </w:pPr>
      <w:r>
        <w:rPr>
          <w:rFonts w:hint="eastAsia" w:ascii="宋体" w:hAnsi="宋体" w:eastAsia="宋体" w:cs="宋体"/>
          <w:b w:val="0"/>
          <w:bCs w:val="0"/>
          <w:i w:val="0"/>
          <w:caps w:val="0"/>
          <w:color w:val="000000"/>
          <w:spacing w:val="0"/>
          <w:kern w:val="2"/>
          <w:sz w:val="24"/>
          <w:szCs w:val="24"/>
          <w:lang w:val="en-US" w:eastAsia="zh-CN" w:bidi="ar-SA"/>
        </w:rPr>
        <w:t>为深入学习贯彻习近平总书记系列重要讲话精神和治国理政新理念新思想新战略，落实中央《关于深化人才发展体制机制改革的意见》，聚天下英才而用之，日前，中共教育部党组印发了《关于加快直属高校高层次人才发展的指导意见》（以下简称《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default" w:ascii="宋体" w:hAnsi="宋体" w:eastAsia="宋体" w:cs="宋体"/>
          <w:b w:val="0"/>
          <w:bCs w:val="0"/>
          <w:i w:val="0"/>
          <w:caps w:val="0"/>
          <w:color w:val="000000"/>
          <w:spacing w:val="0"/>
          <w:kern w:val="2"/>
          <w:sz w:val="24"/>
          <w:szCs w:val="24"/>
          <w:lang w:val="en-US" w:eastAsia="zh-CN" w:bidi="ar-SA"/>
        </w:rPr>
      </w:pPr>
      <w:r>
        <w:rPr>
          <w:rFonts w:hint="default" w:ascii="宋体" w:hAnsi="宋体" w:eastAsia="宋体" w:cs="宋体"/>
          <w:b w:val="0"/>
          <w:bCs w:val="0"/>
          <w:i w:val="0"/>
          <w:caps w:val="0"/>
          <w:color w:val="000000"/>
          <w:spacing w:val="0"/>
          <w:kern w:val="2"/>
          <w:sz w:val="24"/>
          <w:szCs w:val="24"/>
          <w:lang w:val="en-US" w:eastAsia="zh-CN" w:bidi="ar-SA"/>
        </w:rPr>
        <w:t>为规范高层次人才有序流动，指导意见明确指出，要加强高层次人才流动的规范化管理，强化高校与人才的契约关系和法治意识，落实聘用合同管理；坚持正确的人才流动导向，鼓励高层次人才向中西部和东北地区高校流动，不鼓励东部地区高校从中西部、东北地区高校引进人才；发挥高校人才工作联盟作用，逐步建立行业自律机制和人才流动协商沟通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both"/>
        <w:textAlignment w:val="auto"/>
        <w:outlineLvl w:val="9"/>
        <w:rPr>
          <w:rFonts w:hint="default" w:ascii="宋体" w:hAnsi="宋体" w:eastAsia="宋体" w:cs="宋体"/>
          <w:b w:val="0"/>
          <w:bCs w:val="0"/>
          <w:i w:val="0"/>
          <w:caps w:val="0"/>
          <w:color w:val="000000"/>
          <w:spacing w:val="0"/>
          <w:kern w:val="2"/>
          <w:sz w:val="24"/>
          <w:szCs w:val="24"/>
          <w:lang w:val="en-US" w:eastAsia="zh-CN" w:bidi="ar-SA"/>
        </w:rPr>
      </w:pPr>
      <w:r>
        <w:rPr>
          <w:rFonts w:hint="default" w:ascii="宋体" w:hAnsi="宋体" w:eastAsia="宋体" w:cs="宋体"/>
          <w:b w:val="0"/>
          <w:bCs w:val="0"/>
          <w:i w:val="0"/>
          <w:caps w:val="0"/>
          <w:color w:val="000000"/>
          <w:spacing w:val="0"/>
          <w:kern w:val="2"/>
          <w:sz w:val="24"/>
          <w:szCs w:val="24"/>
          <w:lang w:val="en-US" w:eastAsia="zh-CN" w:bidi="ar-SA"/>
        </w:rPr>
        <w:t>在强化高层次人才培育支持的具体措施方面，指导意见要求，要加强思想理论教育和政治引领，在人才引进、人才选聘、课题申报、职称评审等过程中，坚持思想政治素质和师德规范要求，实行“一票否决”制；通过完善人才发展投入机制、加大人才开发投入力度等方式，加大人才发展支持力度；通过深入实施国家重大人才工程、支持高校设立杰出人才工作室等多种形式，着力造就杰出人才、领军人才及高水平创新团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both"/>
        <w:textAlignment w:val="auto"/>
        <w:outlineLvl w:val="9"/>
        <w:rPr>
          <w:rFonts w:hint="eastAsia" w:ascii="宋体" w:hAnsi="宋体" w:eastAsia="宋体" w:cs="宋体"/>
          <w:b w:val="0"/>
          <w:bCs w:val="0"/>
          <w:i w:val="0"/>
          <w:caps w:val="0"/>
          <w:color w:val="000000"/>
          <w:spacing w:val="0"/>
          <w:kern w:val="2"/>
          <w:sz w:val="24"/>
          <w:szCs w:val="24"/>
          <w:lang w:val="en-US" w:eastAsia="zh-CN" w:bidi="ar-SA"/>
        </w:rPr>
      </w:pPr>
      <w:r>
        <w:rPr>
          <w:rFonts w:hint="default" w:ascii="宋体" w:hAnsi="宋体" w:eastAsia="宋体" w:cs="宋体"/>
          <w:b w:val="0"/>
          <w:bCs w:val="0"/>
          <w:i w:val="0"/>
          <w:caps w:val="0"/>
          <w:color w:val="000000"/>
          <w:spacing w:val="0"/>
          <w:kern w:val="2"/>
          <w:sz w:val="24"/>
          <w:szCs w:val="24"/>
          <w:lang w:val="en-US" w:eastAsia="zh-CN" w:bidi="ar-SA"/>
        </w:rPr>
        <w:t>在优化高层次人才考核评价和创新高层次人才激励保障机制方面，指导意见提出，要突出品德、能力和业绩导向，并根据学科、类型和人才发展阶段，逐步完善体现中国特色、符合国际通行标准的人才分类评价体系；要改进评价方式，科学设置考核评价周期和考核办法，激励高层次人才投身重大原始创新研究。建立健全有利于提高竞争力的内部分配机制，鼓励高校实行高层次人才协议工资制、项目工资制等绩效工资分配方式，统筹考虑引进高层次人才与现有高层次人才工资待遇，建立符合实际、水平适当、发展均衡、管理规范的薪酬分配体系</w:t>
      </w:r>
      <w:r>
        <w:rPr>
          <w:rFonts w:hint="eastAsia" w:ascii="宋体" w:hAnsi="宋体" w:eastAsia="宋体" w:cs="宋体"/>
          <w:b w:val="0"/>
          <w:bCs w:val="0"/>
          <w:i w:val="0"/>
          <w:caps w:val="0"/>
          <w:color w:val="000000"/>
          <w:spacing w:val="0"/>
          <w:kern w:val="2"/>
          <w:sz w:val="24"/>
          <w:szCs w:val="24"/>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0" w:rightChars="0" w:firstLine="210" w:firstLineChars="100"/>
        <w:jc w:val="left"/>
        <w:textAlignment w:val="auto"/>
        <w:outlineLvl w:val="9"/>
        <w:rPr>
          <w:rFonts w:hint="eastAsia" w:ascii="宋体" w:hAnsi="宋体" w:eastAsia="宋体" w:cs="宋体"/>
          <w:b w:val="0"/>
          <w:bCs w:val="0"/>
          <w:i w:val="0"/>
          <w:caps w:val="0"/>
          <w:color w:val="000000"/>
          <w:spacing w:val="0"/>
          <w:kern w:val="2"/>
          <w:sz w:val="21"/>
          <w:szCs w:val="21"/>
          <w:lang w:val="en-US" w:eastAsia="zh-CN" w:bidi="ar-SA"/>
        </w:rPr>
      </w:pPr>
      <w:r>
        <w:rPr>
          <w:rFonts w:hint="eastAsia" w:ascii="宋体" w:hAnsi="宋体" w:eastAsia="宋体" w:cs="宋体"/>
          <w:b w:val="0"/>
          <w:bCs w:val="0"/>
          <w:i w:val="0"/>
          <w:caps w:val="0"/>
          <w:color w:val="000000"/>
          <w:spacing w:val="0"/>
          <w:kern w:val="2"/>
          <w:sz w:val="21"/>
          <w:szCs w:val="21"/>
          <w:lang w:val="en-US" w:eastAsia="zh-CN" w:bidi="ar-SA"/>
        </w:rPr>
        <w:t>（摘自</w:t>
      </w:r>
      <w:r>
        <w:rPr>
          <w:rFonts w:hint="eastAsia" w:ascii="宋体" w:hAnsi="宋体" w:eastAsia="宋体" w:cs="宋体"/>
          <w:b w:val="0"/>
          <w:bCs w:val="0"/>
          <w:i w:val="0"/>
          <w:caps w:val="0"/>
          <w:color w:val="000000"/>
          <w:spacing w:val="0"/>
          <w:kern w:val="2"/>
          <w:sz w:val="21"/>
          <w:szCs w:val="21"/>
          <w:lang w:val="en-US" w:eastAsia="zh-CN" w:bidi="ar-SA"/>
        </w:rPr>
        <w:fldChar w:fldCharType="begin"/>
      </w:r>
      <w:r>
        <w:rPr>
          <w:rFonts w:hint="eastAsia" w:ascii="宋体" w:hAnsi="宋体" w:eastAsia="宋体" w:cs="宋体"/>
          <w:b w:val="0"/>
          <w:bCs w:val="0"/>
          <w:i w:val="0"/>
          <w:caps w:val="0"/>
          <w:color w:val="000000"/>
          <w:spacing w:val="0"/>
          <w:kern w:val="2"/>
          <w:sz w:val="21"/>
          <w:szCs w:val="21"/>
          <w:lang w:val="en-US" w:eastAsia="zh-CN" w:bidi="ar-SA"/>
        </w:rPr>
        <w:instrText xml:space="preserve"> HYPERLINK "http://www.moe.edu.cn/jyb_xwfb/gzdt_gzdt/s5987/201708/t20170822_311558.html
" </w:instrText>
      </w:r>
      <w:r>
        <w:rPr>
          <w:rFonts w:hint="eastAsia" w:ascii="宋体" w:hAnsi="宋体" w:eastAsia="宋体" w:cs="宋体"/>
          <w:b w:val="0"/>
          <w:bCs w:val="0"/>
          <w:i w:val="0"/>
          <w:caps w:val="0"/>
          <w:color w:val="000000"/>
          <w:spacing w:val="0"/>
          <w:kern w:val="2"/>
          <w:sz w:val="21"/>
          <w:szCs w:val="21"/>
          <w:lang w:val="en-US" w:eastAsia="zh-CN" w:bidi="ar-SA"/>
        </w:rPr>
        <w:fldChar w:fldCharType="separate"/>
      </w:r>
      <w:r>
        <w:rPr>
          <w:rFonts w:hint="eastAsia" w:ascii="宋体" w:hAnsi="宋体" w:eastAsia="宋体" w:cs="宋体"/>
          <w:b w:val="0"/>
          <w:bCs w:val="0"/>
          <w:i w:val="0"/>
          <w:caps w:val="0"/>
          <w:color w:val="000000"/>
          <w:spacing w:val="0"/>
          <w:kern w:val="2"/>
          <w:sz w:val="21"/>
          <w:szCs w:val="21"/>
          <w:lang w:val="en-US" w:eastAsia="zh-CN" w:bidi="ar-SA"/>
        </w:rPr>
        <w:t>教育部网站</w:t>
      </w:r>
      <w:r>
        <w:rPr>
          <w:rFonts w:hint="eastAsia" w:ascii="宋体" w:hAnsi="宋体" w:eastAsia="宋体" w:cs="宋体"/>
          <w:b w:val="0"/>
          <w:bCs w:val="0"/>
          <w:i w:val="0"/>
          <w:caps w:val="0"/>
          <w:color w:val="000000"/>
          <w:spacing w:val="0"/>
          <w:kern w:val="2"/>
          <w:sz w:val="21"/>
          <w:szCs w:val="21"/>
          <w:lang w:val="en-US" w:eastAsia="zh-CN" w:bidi="ar-SA"/>
        </w:rPr>
        <w:fldChar w:fldCharType="end"/>
      </w:r>
      <w:r>
        <w:rPr>
          <w:rFonts w:hint="eastAsia" w:ascii="宋体" w:hAnsi="宋体" w:eastAsia="宋体" w:cs="宋体"/>
          <w:b w:val="0"/>
          <w:bCs w:val="0"/>
          <w:i w:val="0"/>
          <w:caps w:val="0"/>
          <w:color w:val="000000"/>
          <w:spacing w:val="0"/>
          <w:kern w:val="2"/>
          <w:sz w:val="21"/>
          <w:szCs w:val="21"/>
          <w:lang w:val="en-US" w:eastAsia="zh-CN" w:bidi="ar-SA"/>
        </w:rPr>
        <w:t>，2017年08月22日）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0" w:rightChars="0" w:firstLine="210" w:firstLineChars="100"/>
        <w:jc w:val="left"/>
        <w:textAlignment w:val="auto"/>
        <w:outlineLvl w:val="9"/>
        <w:rPr>
          <w:rFonts w:hint="eastAsia" w:ascii="宋体" w:hAnsi="宋体" w:eastAsia="宋体" w:cs="宋体"/>
          <w:b w:val="0"/>
          <w:bCs w:val="0"/>
          <w:i w:val="0"/>
          <w:caps w:val="0"/>
          <w:color w:val="000000"/>
          <w:spacing w:val="0"/>
          <w:kern w:val="2"/>
          <w:sz w:val="24"/>
          <w:szCs w:val="24"/>
          <w:lang w:val="en-US" w:eastAsia="zh-CN" w:bidi="ar-SA"/>
        </w:rPr>
      </w:pPr>
      <w:r>
        <w:rPr>
          <w:rFonts w:hint="eastAsia" w:ascii="宋体" w:hAnsi="宋体" w:eastAsia="宋体" w:cs="宋体"/>
          <w:b w:val="0"/>
          <w:bCs w:val="0"/>
          <w:i w:val="0"/>
          <w:caps w:val="0"/>
          <w:color w:val="000000"/>
          <w:spacing w:val="0"/>
          <w:kern w:val="2"/>
          <w:sz w:val="21"/>
          <w:szCs w:val="21"/>
          <w:lang w:val="en-US" w:eastAsia="zh-CN" w:bidi="ar-SA"/>
        </w:rPr>
        <w:fldChar w:fldCharType="begin"/>
      </w:r>
      <w:r>
        <w:rPr>
          <w:rFonts w:hint="eastAsia" w:ascii="宋体" w:hAnsi="宋体" w:eastAsia="宋体" w:cs="宋体"/>
          <w:b w:val="0"/>
          <w:bCs w:val="0"/>
          <w:i w:val="0"/>
          <w:caps w:val="0"/>
          <w:color w:val="000000"/>
          <w:spacing w:val="0"/>
          <w:kern w:val="2"/>
          <w:sz w:val="21"/>
          <w:szCs w:val="21"/>
          <w:lang w:val="en-US" w:eastAsia="zh-CN" w:bidi="ar-SA"/>
        </w:rPr>
        <w:instrText xml:space="preserve"> HYPERLINK "http://www.moe.edu.cn/jyb_xwfb/gzdt_gzdt/s5987/201708/t20170822_311558.html" </w:instrText>
      </w:r>
      <w:r>
        <w:rPr>
          <w:rFonts w:hint="eastAsia" w:ascii="宋体" w:hAnsi="宋体" w:eastAsia="宋体" w:cs="宋体"/>
          <w:b w:val="0"/>
          <w:bCs w:val="0"/>
          <w:i w:val="0"/>
          <w:caps w:val="0"/>
          <w:color w:val="000000"/>
          <w:spacing w:val="0"/>
          <w:kern w:val="2"/>
          <w:sz w:val="21"/>
          <w:szCs w:val="21"/>
          <w:lang w:val="en-US" w:eastAsia="zh-CN" w:bidi="ar-SA"/>
        </w:rPr>
        <w:fldChar w:fldCharType="separate"/>
      </w:r>
      <w:r>
        <w:rPr>
          <w:rFonts w:hint="eastAsia" w:ascii="宋体" w:hAnsi="宋体" w:eastAsia="宋体" w:cs="宋体"/>
          <w:b w:val="0"/>
          <w:bCs w:val="0"/>
          <w:i w:val="0"/>
          <w:caps w:val="0"/>
          <w:color w:val="000000"/>
          <w:spacing w:val="0"/>
          <w:kern w:val="2"/>
          <w:sz w:val="21"/>
          <w:szCs w:val="21"/>
          <w:lang w:val="en-US" w:eastAsia="zh-CN" w:bidi="ar-SA"/>
        </w:rPr>
        <w:t>http://www.moe.edu.cn/jyb_xwfb/gzdt_gzdt/s5987/201708/t20170822_311558.html</w:t>
      </w:r>
      <w:r>
        <w:rPr>
          <w:rFonts w:hint="eastAsia" w:ascii="宋体" w:hAnsi="宋体" w:eastAsia="宋体" w:cs="宋体"/>
          <w:b w:val="0"/>
          <w:bCs w:val="0"/>
          <w:i w:val="0"/>
          <w:caps w:val="0"/>
          <w:color w:val="000000"/>
          <w:spacing w:val="0"/>
          <w:kern w:val="2"/>
          <w:sz w:val="21"/>
          <w:szCs w:val="21"/>
          <w:lang w:val="en-US" w:eastAsia="zh-CN" w:bidi="ar-SA"/>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bCs w:val="0"/>
          <w:i w:val="0"/>
          <w:caps w:val="0"/>
          <w:color w:val="000000"/>
          <w:spacing w:val="0"/>
          <w:kern w:val="2"/>
          <w:sz w:val="24"/>
          <w:szCs w:val="24"/>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480" w:lineRule="atLeast"/>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2" w:name="_Toc18213"/>
      <w:r>
        <w:rPr>
          <w:rFonts w:hint="eastAsia" w:asciiTheme="minorHAnsi" w:hAnsiTheme="minorHAnsi" w:eastAsiaTheme="minorEastAsia" w:cstheme="minorBidi"/>
          <w:b/>
          <w:bCs/>
          <w:kern w:val="2"/>
          <w:sz w:val="32"/>
          <w:szCs w:val="32"/>
          <w:lang w:val="en-US" w:eastAsia="zh-CN" w:bidi="ar-SA"/>
        </w:rPr>
        <w:t>教育部：教师职称评审权将下放至高校</w:t>
      </w:r>
      <w:bookmarkEnd w:id="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default" w:ascii="宋体" w:hAnsi="宋体" w:eastAsia="宋体" w:cs="宋体"/>
          <w:b w:val="0"/>
          <w:bCs w:val="0"/>
          <w:i w:val="0"/>
          <w:caps w:val="0"/>
          <w:color w:val="000000"/>
          <w:spacing w:val="0"/>
          <w:kern w:val="2"/>
          <w:sz w:val="24"/>
          <w:szCs w:val="24"/>
          <w:lang w:val="en-US" w:eastAsia="zh-CN" w:bidi="ar-SA"/>
        </w:rPr>
      </w:pPr>
      <w:r>
        <w:rPr>
          <w:rFonts w:hint="eastAsia" w:ascii="宋体" w:hAnsi="宋体" w:eastAsia="宋体" w:cs="宋体"/>
          <w:b w:val="0"/>
          <w:bCs w:val="0"/>
          <w:i w:val="0"/>
          <w:caps w:val="0"/>
          <w:color w:val="000000"/>
          <w:spacing w:val="0"/>
          <w:kern w:val="2"/>
          <w:sz w:val="24"/>
          <w:szCs w:val="24"/>
          <w:lang w:val="en-US" w:eastAsia="zh-CN" w:bidi="ar-SA"/>
        </w:rPr>
        <w:t>近日，教育部发布《教育部人才工作领导小组2017年工作要点》，对深入推进人才发展体制机制改革、规范人才合理有序流动等多方面做出部署。《工作要点》强调，要将高校教师职称评审权直接下放至高校，要落实高校人员聘用自主权、薪酬分配自主权，实施有利于人才发展的股权期权激励政策和激励科技人员成果转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bCs w:val="0"/>
          <w:i w:val="0"/>
          <w:caps w:val="0"/>
          <w:color w:val="000000"/>
          <w:spacing w:val="0"/>
          <w:kern w:val="2"/>
          <w:sz w:val="24"/>
          <w:szCs w:val="24"/>
          <w:lang w:val="en-US" w:eastAsia="zh-CN" w:bidi="ar-SA"/>
        </w:rPr>
      </w:pPr>
      <w:r>
        <w:rPr>
          <w:rFonts w:hint="eastAsia" w:ascii="宋体" w:hAnsi="宋体" w:eastAsia="宋体" w:cs="宋体"/>
          <w:b w:val="0"/>
          <w:bCs w:val="0"/>
          <w:i w:val="0"/>
          <w:caps w:val="0"/>
          <w:color w:val="000000"/>
          <w:spacing w:val="0"/>
          <w:kern w:val="2"/>
          <w:sz w:val="24"/>
          <w:szCs w:val="24"/>
          <w:lang w:val="en-US" w:eastAsia="zh-CN" w:bidi="ar-SA"/>
        </w:rPr>
        <w:t>《工作要点》指出，要深入推进人才发展体制机制改革，向用人主体放权。积极探索实行高校人员总量管理，高校依法自主管理岗位设置，落实高校人员聘用自主权、薪酬分配自主权。落实《关于深化职称制度改革的意见》，将高校教师职称评审权直接下放至高校。同时要完善国际组织人才培养推送政策，创新培养模式，积极推送优秀高校毕业生到国际组织实习任职。启动实施博士研究生教育综合改革试点。继续调整优化研究生层次和类型结构，完善高等职业教育考试招生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bCs w:val="0"/>
          <w:i w:val="0"/>
          <w:caps w:val="0"/>
          <w:color w:val="000000"/>
          <w:spacing w:val="0"/>
          <w:kern w:val="2"/>
          <w:sz w:val="24"/>
          <w:szCs w:val="24"/>
          <w:lang w:val="en-US" w:eastAsia="zh-CN" w:bidi="ar-SA"/>
        </w:rPr>
      </w:pPr>
      <w:r>
        <w:rPr>
          <w:rFonts w:hint="eastAsia" w:ascii="宋体" w:hAnsi="宋体" w:eastAsia="宋体" w:cs="宋体"/>
          <w:b w:val="0"/>
          <w:bCs w:val="0"/>
          <w:i w:val="0"/>
          <w:caps w:val="0"/>
          <w:color w:val="000000"/>
          <w:spacing w:val="0"/>
          <w:kern w:val="2"/>
          <w:sz w:val="24"/>
          <w:szCs w:val="24"/>
          <w:lang w:val="en-US" w:eastAsia="zh-CN" w:bidi="ar-SA"/>
        </w:rPr>
        <w:t>针对近年来一些东部高校到中西部高校“挖”高水平人才，人才东南飞的现象，《工作要点》明确提出：要健全人才流动机制，鼓励合理流动，遏制恶性竞争；完善各类评估评价机制，引导高校树立正确的人才观，注重于打基础、利长远；充分发挥高校人才工作联盟作用，建立行业自律机制和人才流动协商沟通机制，探索建立人才成果合理共享机制；强化高校与人才的契约关系和法治意识，落实聘用合同管理；引导高层次人才重诺守信，模范遵守聘任合同；建立人才在高校和企业间双向合理流动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0" w:rightChars="0" w:firstLine="210" w:firstLineChars="100"/>
        <w:jc w:val="left"/>
        <w:textAlignment w:val="auto"/>
        <w:outlineLvl w:val="9"/>
        <w:rPr>
          <w:rFonts w:hint="eastAsia" w:ascii="宋体" w:hAnsi="宋体" w:eastAsia="宋体" w:cs="宋体"/>
          <w:b w:val="0"/>
          <w:bCs w:val="0"/>
          <w:i w:val="0"/>
          <w:caps w:val="0"/>
          <w:color w:val="000000"/>
          <w:spacing w:val="0"/>
          <w:kern w:val="2"/>
          <w:sz w:val="21"/>
          <w:szCs w:val="21"/>
          <w:lang w:val="en-US" w:eastAsia="zh-CN" w:bidi="ar-SA"/>
        </w:rPr>
      </w:pPr>
      <w:r>
        <w:rPr>
          <w:rFonts w:hint="eastAsia" w:ascii="宋体" w:hAnsi="宋体" w:eastAsia="宋体" w:cs="宋体"/>
          <w:b w:val="0"/>
          <w:bCs w:val="0"/>
          <w:i w:val="0"/>
          <w:caps w:val="0"/>
          <w:color w:val="000000"/>
          <w:spacing w:val="0"/>
          <w:kern w:val="2"/>
          <w:sz w:val="21"/>
          <w:szCs w:val="21"/>
          <w:lang w:val="en-US" w:eastAsia="zh-CN" w:bidi="ar-SA"/>
        </w:rPr>
        <w:t>（来源：</w:t>
      </w:r>
      <w:r>
        <w:rPr>
          <w:rFonts w:hint="eastAsia" w:ascii="宋体" w:hAnsi="宋体" w:eastAsia="宋体" w:cs="宋体"/>
          <w:b w:val="0"/>
          <w:bCs w:val="0"/>
          <w:i w:val="0"/>
          <w:caps w:val="0"/>
          <w:color w:val="000000"/>
          <w:spacing w:val="0"/>
          <w:kern w:val="2"/>
          <w:sz w:val="21"/>
          <w:szCs w:val="21"/>
          <w:lang w:val="en-US" w:eastAsia="zh-CN" w:bidi="ar-SA"/>
        </w:rPr>
        <w:fldChar w:fldCharType="begin"/>
      </w:r>
      <w:r>
        <w:rPr>
          <w:rFonts w:hint="eastAsia" w:ascii="宋体" w:hAnsi="宋体" w:eastAsia="宋体" w:cs="宋体"/>
          <w:b w:val="0"/>
          <w:bCs w:val="0"/>
          <w:i w:val="0"/>
          <w:caps w:val="0"/>
          <w:color w:val="000000"/>
          <w:spacing w:val="0"/>
          <w:kern w:val="2"/>
          <w:sz w:val="21"/>
          <w:szCs w:val="21"/>
          <w:lang w:val="en-US" w:eastAsia="zh-CN" w:bidi="ar-SA"/>
        </w:rPr>
        <w:instrText xml:space="preserve"> HYPERLINK "http://edu.china.com.cn/2017-08/12/content_41396269.htm" </w:instrText>
      </w:r>
      <w:r>
        <w:rPr>
          <w:rFonts w:hint="eastAsia" w:ascii="宋体" w:hAnsi="宋体" w:eastAsia="宋体" w:cs="宋体"/>
          <w:b w:val="0"/>
          <w:bCs w:val="0"/>
          <w:i w:val="0"/>
          <w:caps w:val="0"/>
          <w:color w:val="000000"/>
          <w:spacing w:val="0"/>
          <w:kern w:val="2"/>
          <w:sz w:val="21"/>
          <w:szCs w:val="21"/>
          <w:lang w:val="en-US" w:eastAsia="zh-CN" w:bidi="ar-SA"/>
        </w:rPr>
        <w:fldChar w:fldCharType="separate"/>
      </w:r>
      <w:r>
        <w:rPr>
          <w:rFonts w:hint="eastAsia" w:ascii="宋体" w:hAnsi="宋体" w:eastAsia="宋体" w:cs="宋体"/>
          <w:b w:val="0"/>
          <w:bCs w:val="0"/>
          <w:i w:val="0"/>
          <w:caps w:val="0"/>
          <w:color w:val="000000"/>
          <w:spacing w:val="0"/>
          <w:kern w:val="2"/>
          <w:sz w:val="21"/>
          <w:szCs w:val="21"/>
          <w:lang w:val="en-US" w:eastAsia="zh-CN" w:bidi="ar-SA"/>
        </w:rPr>
        <w:t>中国网</w:t>
      </w:r>
      <w:r>
        <w:rPr>
          <w:rFonts w:hint="eastAsia" w:ascii="宋体" w:hAnsi="宋体" w:eastAsia="宋体" w:cs="宋体"/>
          <w:b w:val="0"/>
          <w:bCs w:val="0"/>
          <w:i w:val="0"/>
          <w:caps w:val="0"/>
          <w:color w:val="000000"/>
          <w:spacing w:val="0"/>
          <w:kern w:val="2"/>
          <w:sz w:val="21"/>
          <w:szCs w:val="21"/>
          <w:lang w:val="en-US" w:eastAsia="zh-CN" w:bidi="ar-SA"/>
        </w:rPr>
        <w:fldChar w:fldCharType="end"/>
      </w:r>
      <w:r>
        <w:rPr>
          <w:rFonts w:hint="eastAsia" w:ascii="宋体" w:hAnsi="宋体" w:eastAsia="宋体" w:cs="宋体"/>
          <w:b w:val="0"/>
          <w:bCs w:val="0"/>
          <w:i w:val="0"/>
          <w:caps w:val="0"/>
          <w:color w:val="000000"/>
          <w:spacing w:val="0"/>
          <w:kern w:val="2"/>
          <w:sz w:val="21"/>
          <w:szCs w:val="21"/>
          <w:lang w:val="en-US" w:eastAsia="zh-CN" w:bidi="ar-SA"/>
        </w:rPr>
        <w:t>，2017年8月12日）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0" w:rightChars="0" w:firstLine="210" w:firstLineChars="100"/>
        <w:jc w:val="left"/>
        <w:textAlignment w:val="auto"/>
        <w:outlineLvl w:val="9"/>
        <w:rPr>
          <w:rFonts w:hint="eastAsia" w:ascii="宋体" w:hAnsi="宋体" w:eastAsia="宋体" w:cs="宋体"/>
          <w:b w:val="0"/>
          <w:bCs w:val="0"/>
          <w:i w:val="0"/>
          <w:caps w:val="0"/>
          <w:color w:val="000000"/>
          <w:spacing w:val="0"/>
          <w:kern w:val="2"/>
          <w:sz w:val="21"/>
          <w:szCs w:val="21"/>
          <w:lang w:val="en-US" w:eastAsia="zh-CN" w:bidi="ar-SA"/>
        </w:rPr>
      </w:pPr>
      <w:r>
        <w:rPr>
          <w:rFonts w:hint="eastAsia" w:ascii="宋体" w:hAnsi="宋体" w:eastAsia="宋体" w:cs="宋体"/>
          <w:b w:val="0"/>
          <w:bCs w:val="0"/>
          <w:i w:val="0"/>
          <w:caps w:val="0"/>
          <w:color w:val="000000"/>
          <w:spacing w:val="0"/>
          <w:kern w:val="2"/>
          <w:sz w:val="21"/>
          <w:szCs w:val="21"/>
          <w:lang w:val="en-US" w:eastAsia="zh-CN" w:bidi="ar-SA"/>
        </w:rPr>
        <w:fldChar w:fldCharType="begin"/>
      </w:r>
      <w:r>
        <w:rPr>
          <w:rFonts w:hint="eastAsia" w:ascii="宋体" w:hAnsi="宋体" w:eastAsia="宋体" w:cs="宋体"/>
          <w:b w:val="0"/>
          <w:bCs w:val="0"/>
          <w:i w:val="0"/>
          <w:caps w:val="0"/>
          <w:color w:val="000000"/>
          <w:spacing w:val="0"/>
          <w:kern w:val="2"/>
          <w:sz w:val="21"/>
          <w:szCs w:val="21"/>
          <w:lang w:val="en-US" w:eastAsia="zh-CN" w:bidi="ar-SA"/>
        </w:rPr>
        <w:instrText xml:space="preserve"> HYPERLINK "http://edu.china.com.cn/2017-08/12/content_41396269.htm" </w:instrText>
      </w:r>
      <w:r>
        <w:rPr>
          <w:rFonts w:hint="eastAsia" w:ascii="宋体" w:hAnsi="宋体" w:eastAsia="宋体" w:cs="宋体"/>
          <w:b w:val="0"/>
          <w:bCs w:val="0"/>
          <w:i w:val="0"/>
          <w:caps w:val="0"/>
          <w:color w:val="000000"/>
          <w:spacing w:val="0"/>
          <w:kern w:val="2"/>
          <w:sz w:val="21"/>
          <w:szCs w:val="21"/>
          <w:lang w:val="en-US" w:eastAsia="zh-CN" w:bidi="ar-SA"/>
        </w:rPr>
        <w:fldChar w:fldCharType="separate"/>
      </w:r>
      <w:r>
        <w:rPr>
          <w:rFonts w:hint="eastAsia" w:ascii="宋体" w:hAnsi="宋体" w:eastAsia="宋体" w:cs="宋体"/>
          <w:b w:val="0"/>
          <w:bCs w:val="0"/>
          <w:i w:val="0"/>
          <w:caps w:val="0"/>
          <w:color w:val="000000"/>
          <w:spacing w:val="0"/>
          <w:kern w:val="2"/>
          <w:sz w:val="21"/>
          <w:szCs w:val="21"/>
          <w:lang w:val="en-US" w:eastAsia="zh-CN" w:bidi="ar-SA"/>
        </w:rPr>
        <w:t>http://edu.china.com.cn/2017-08/12/content_41396269.htm</w:t>
      </w:r>
      <w:r>
        <w:rPr>
          <w:rFonts w:hint="eastAsia" w:ascii="宋体" w:hAnsi="宋体" w:eastAsia="宋体" w:cs="宋体"/>
          <w:b w:val="0"/>
          <w:bCs w:val="0"/>
          <w:i w:val="0"/>
          <w:caps w:val="0"/>
          <w:color w:val="000000"/>
          <w:spacing w:val="0"/>
          <w:kern w:val="2"/>
          <w:sz w:val="21"/>
          <w:szCs w:val="21"/>
          <w:lang w:val="en-US" w:eastAsia="zh-CN" w:bidi="ar-SA"/>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45" w:right="45" w:firstLine="450"/>
        <w:textAlignment w:val="auto"/>
        <w:rPr>
          <w:rFonts w:hint="eastAsia" w:asciiTheme="majorEastAsia" w:hAnsiTheme="majorEastAsia" w:eastAsiaTheme="majorEastAsia" w:cstheme="majorEastAsia"/>
          <w:b w:val="0"/>
          <w:bCs w:val="0"/>
          <w:color w:val="4B4B4B"/>
          <w:kern w:val="2"/>
          <w:sz w:val="21"/>
          <w:szCs w:val="21"/>
          <w:shd w:val="clear" w:color="auto" w:fill="FFFFFF"/>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both"/>
        <w:textAlignment w:val="auto"/>
        <w:rPr>
          <w:rFonts w:hint="default" w:asciiTheme="majorEastAsia" w:hAnsiTheme="majorEastAsia" w:eastAsiaTheme="majorEastAsia" w:cstheme="majorEastAsia"/>
          <w:b w:val="0"/>
          <w:bCs w:val="0"/>
          <w:color w:val="4B4B4B"/>
          <w:kern w:val="2"/>
          <w:sz w:val="24"/>
          <w:szCs w:val="24"/>
          <w:shd w:val="clear" w:color="auto" w:fill="FFFFFF"/>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center"/>
        <w:textAlignment w:val="auto"/>
        <w:rPr>
          <w:rFonts w:hint="default" w:asciiTheme="majorEastAsia" w:hAnsiTheme="majorEastAsia" w:eastAsiaTheme="majorEastAsia" w:cstheme="majorEastAsia"/>
          <w:b w:val="0"/>
          <w:bCs w:val="0"/>
          <w:color w:val="4B4B4B"/>
          <w:kern w:val="2"/>
          <w:sz w:val="24"/>
          <w:szCs w:val="24"/>
          <w:shd w:val="clear" w:color="auto" w:fill="FFFFFF"/>
          <w:lang w:val="en-US" w:eastAsia="zh-CN" w:bidi="ar-SA"/>
        </w:rPr>
      </w:pPr>
    </w:p>
    <w:p>
      <w:pPr>
        <w:pStyle w:val="2"/>
        <w:keepNext w:val="0"/>
        <w:keepLines w:val="0"/>
        <w:widowControl/>
        <w:suppressLineNumbers w:val="0"/>
        <w:spacing w:before="0" w:beforeAutospacing="0" w:after="0" w:afterAutospacing="0" w:line="480" w:lineRule="atLeast"/>
        <w:ind w:left="0" w:right="0"/>
        <w:jc w:val="both"/>
        <w:rPr>
          <w:b/>
          <w:color w:val="4B4B4B"/>
          <w:sz w:val="30"/>
          <w:szCs w:val="30"/>
          <w:shd w:val="clear" w:fill="FFFFFF"/>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r>
        <w:rPr>
          <w:rFonts w:hint="eastAsia"/>
          <w:b/>
          <w:bCs/>
          <w:sz w:val="36"/>
          <w:szCs w:val="36"/>
          <w:lang w:val="en-US" w:eastAsia="zh-CN"/>
        </w:rPr>
        <w:t>【高教动态】</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3" w:name="_Toc1910"/>
      <w:r>
        <w:rPr>
          <w:rFonts w:hint="eastAsia" w:asciiTheme="minorHAnsi" w:hAnsiTheme="minorHAnsi" w:eastAsiaTheme="minorEastAsia" w:cstheme="minorBidi"/>
          <w:b/>
          <w:bCs/>
          <w:kern w:val="2"/>
          <w:sz w:val="32"/>
          <w:szCs w:val="32"/>
          <w:lang w:val="en-US" w:eastAsia="zh-CN" w:bidi="ar-SA"/>
        </w:rPr>
        <w:t>北京林业大学实施经典课程导读计划</w:t>
      </w:r>
      <w:bookmarkEnd w:id="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北京林业大学学校、学院和班级三级联动、分层推动，实施经典导读课程计划，在提升学生自主性的同时促进活动的全面覆盖。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2"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bCs/>
          <w:i w:val="0"/>
          <w:caps w:val="0"/>
          <w:color w:val="000000"/>
          <w:spacing w:val="0"/>
          <w:kern w:val="2"/>
          <w:sz w:val="24"/>
          <w:szCs w:val="24"/>
          <w:lang w:val="en-US" w:eastAsia="zh-CN" w:bidi="ar-SA"/>
        </w:rPr>
        <w:t>一张书单，明确阅读范围。</w:t>
      </w:r>
      <w:r>
        <w:rPr>
          <w:rFonts w:hint="eastAsia" w:ascii="宋体" w:hAnsi="宋体" w:eastAsia="宋体" w:cs="宋体"/>
          <w:b w:val="0"/>
          <w:i w:val="0"/>
          <w:caps w:val="0"/>
          <w:color w:val="000000"/>
          <w:spacing w:val="0"/>
          <w:kern w:val="2"/>
          <w:sz w:val="24"/>
          <w:szCs w:val="24"/>
          <w:lang w:val="en-US" w:eastAsia="zh-CN" w:bidi="ar-SA"/>
        </w:rPr>
        <w:t>根据人民网、新华网等媒体报道的习近平总书记推荐书目，从哲学、政治、文学与历史、社会科学和经济五大方面绘制书单，挑选50本推荐书目供同学们选择，确保学生选好书、读好书。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2"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bCs/>
          <w:i w:val="0"/>
          <w:caps w:val="0"/>
          <w:color w:val="000000"/>
          <w:spacing w:val="0"/>
          <w:kern w:val="2"/>
          <w:sz w:val="24"/>
          <w:szCs w:val="24"/>
          <w:lang w:val="en-US" w:eastAsia="zh-CN" w:bidi="ar-SA"/>
        </w:rPr>
        <w:t>二轮驱动，强化支撑保障。</w:t>
      </w:r>
      <w:r>
        <w:rPr>
          <w:rFonts w:hint="eastAsia" w:ascii="宋体" w:hAnsi="宋体" w:eastAsia="宋体" w:cs="宋体"/>
          <w:b w:val="0"/>
          <w:i w:val="0"/>
          <w:caps w:val="0"/>
          <w:color w:val="000000"/>
          <w:spacing w:val="0"/>
          <w:kern w:val="2"/>
          <w:sz w:val="24"/>
          <w:szCs w:val="24"/>
          <w:lang w:val="en-US" w:eastAsia="zh-CN" w:bidi="ar-SA"/>
        </w:rPr>
        <w:t>发挥第二课</w:t>
      </w:r>
      <w:r>
        <w:rPr>
          <w:rFonts w:hint="eastAsia" w:ascii="宋体" w:hAnsi="宋体" w:eastAsia="宋体" w:cs="宋体"/>
          <w:b w:val="0"/>
          <w:bCs w:val="0"/>
          <w:i w:val="0"/>
          <w:caps w:val="0"/>
          <w:color w:val="000000"/>
          <w:spacing w:val="0"/>
          <w:kern w:val="2"/>
          <w:sz w:val="24"/>
          <w:szCs w:val="24"/>
          <w:lang w:val="en-US" w:eastAsia="zh-CN" w:bidi="ar-SA"/>
        </w:rPr>
        <w:t>堂作为第一课堂有益补充的作用，加入经典导读计划的同学，在读完经典并考核通过后，可获得第二课堂认证，取得第二课堂相应学分。发挥马克思主义学院教师优势，为每个班次配备导读教师，带领同学们阅读经典，确保学生更准确把握书籍的核心思想</w:t>
      </w:r>
      <w:r>
        <w:rPr>
          <w:rFonts w:hint="eastAsia" w:ascii="宋体" w:hAnsi="宋体" w:eastAsia="宋体" w:cs="宋体"/>
          <w:b w:val="0"/>
          <w:i w:val="0"/>
          <w:caps w:val="0"/>
          <w:color w:val="000000"/>
          <w:spacing w:val="0"/>
          <w:kern w:val="2"/>
          <w:sz w:val="24"/>
          <w:szCs w:val="24"/>
          <w:lang w:val="en-US" w:eastAsia="zh-CN" w:bidi="ar-SA"/>
        </w:rPr>
        <w:t>、更多的吸收书籍营养、更好的指导现实生活。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2"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bCs/>
          <w:i w:val="0"/>
          <w:caps w:val="0"/>
          <w:color w:val="000000"/>
          <w:spacing w:val="0"/>
          <w:kern w:val="2"/>
          <w:sz w:val="24"/>
          <w:szCs w:val="24"/>
          <w:lang w:val="en-US" w:eastAsia="zh-CN" w:bidi="ar-SA"/>
        </w:rPr>
        <w:t>三级联动，促进全面覆盖。</w:t>
      </w:r>
      <w:r>
        <w:rPr>
          <w:rFonts w:hint="eastAsia" w:ascii="宋体" w:hAnsi="宋体" w:eastAsia="宋体" w:cs="宋体"/>
          <w:b w:val="0"/>
          <w:i w:val="0"/>
          <w:caps w:val="0"/>
          <w:color w:val="000000"/>
          <w:spacing w:val="0"/>
          <w:kern w:val="2"/>
          <w:sz w:val="24"/>
          <w:szCs w:val="24"/>
          <w:lang w:val="en-US" w:eastAsia="zh-CN" w:bidi="ar-SA"/>
        </w:rPr>
        <w:t>学校、学院和班级三级联动、分层推动，在提升学生自主性的同时促进活动全面覆盖。学校层面组建阅读班次，并鼓励各学院、各班级和社团根据同学们集体投票确定阅读书目，在第二课堂素质教育系统上申报立项，按照相关要求组建班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2"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bCs/>
          <w:i w:val="0"/>
          <w:caps w:val="0"/>
          <w:color w:val="000000"/>
          <w:spacing w:val="0"/>
          <w:kern w:val="2"/>
          <w:sz w:val="24"/>
          <w:szCs w:val="24"/>
          <w:lang w:val="en-US" w:eastAsia="zh-CN" w:bidi="ar-SA"/>
        </w:rPr>
        <w:t>四频共振，深化育人成效。</w:t>
      </w:r>
      <w:r>
        <w:rPr>
          <w:rFonts w:hint="eastAsia" w:ascii="宋体" w:hAnsi="宋体" w:eastAsia="宋体" w:cs="宋体"/>
          <w:b w:val="0"/>
          <w:i w:val="0"/>
          <w:caps w:val="0"/>
          <w:color w:val="000000"/>
          <w:spacing w:val="0"/>
          <w:kern w:val="2"/>
          <w:sz w:val="24"/>
          <w:szCs w:val="24"/>
          <w:lang w:val="en-US" w:eastAsia="zh-CN" w:bidi="ar-SA"/>
        </w:rPr>
        <w:t>创新工作举措，建立教师导读、线上伴读、线下品读和深化研读“四频共振”模式。由指导教师讲解作品的时代背景、艺术手法、思想意义及阅读方法等，带领学生初识经典。由学生以班次为单位组建班级微信群，群内学生依次轮值伴读，线上互动交流学习心得和体会。学生自我组织线下品读，通过朗诵、演讲等方式，展示读书成果、分享阅读心得，引导同学们相互启发、深入思考。完成书目全部阅读后，采用撰写学习心得、小组展示等多种形式引导学生进一步研读，升华阅读成果，提高阅读经典的育人成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210" w:leftChars="100" w:right="0" w:rightChars="0" w:firstLine="0" w:firstLineChars="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2"/>
          <w:sz w:val="21"/>
          <w:szCs w:val="21"/>
          <w:lang w:val="en-US" w:eastAsia="zh-CN" w:bidi="ar-SA"/>
        </w:rPr>
        <w:t>（来源：</w:t>
      </w:r>
      <w:r>
        <w:rPr>
          <w:rFonts w:hint="eastAsia" w:ascii="宋体" w:hAnsi="宋体" w:eastAsia="宋体" w:cs="宋体"/>
          <w:b w:val="0"/>
          <w:i w:val="0"/>
          <w:caps w:val="0"/>
          <w:color w:val="000000"/>
          <w:spacing w:val="0"/>
          <w:kern w:val="2"/>
          <w:sz w:val="21"/>
          <w:szCs w:val="21"/>
          <w:lang w:val="en-US" w:eastAsia="zh-CN" w:bidi="ar-SA"/>
        </w:rPr>
        <w:fldChar w:fldCharType="begin"/>
      </w:r>
      <w:r>
        <w:rPr>
          <w:rFonts w:hint="eastAsia" w:ascii="宋体" w:hAnsi="宋体" w:eastAsia="宋体" w:cs="宋体"/>
          <w:b w:val="0"/>
          <w:i w:val="0"/>
          <w:caps w:val="0"/>
          <w:color w:val="000000"/>
          <w:spacing w:val="0"/>
          <w:kern w:val="2"/>
          <w:sz w:val="21"/>
          <w:szCs w:val="21"/>
          <w:lang w:val="en-US" w:eastAsia="zh-CN" w:bidi="ar-SA"/>
        </w:rPr>
        <w:instrText xml:space="preserve"> HYPERLINK "http://www.moe.gov.cn/jyb_xwfb/s6192/s133/s148/201709/t20170912_314239.html" </w:instrText>
      </w:r>
      <w:r>
        <w:rPr>
          <w:rFonts w:hint="eastAsia" w:ascii="宋体" w:hAnsi="宋体" w:eastAsia="宋体" w:cs="宋体"/>
          <w:b w:val="0"/>
          <w:i w:val="0"/>
          <w:caps w:val="0"/>
          <w:color w:val="000000"/>
          <w:spacing w:val="0"/>
          <w:kern w:val="2"/>
          <w:sz w:val="21"/>
          <w:szCs w:val="21"/>
          <w:lang w:val="en-US" w:eastAsia="zh-CN" w:bidi="ar-SA"/>
        </w:rPr>
        <w:fldChar w:fldCharType="separate"/>
      </w:r>
      <w:r>
        <w:rPr>
          <w:rFonts w:hint="eastAsia" w:ascii="宋体" w:hAnsi="宋体" w:eastAsia="宋体" w:cs="宋体"/>
          <w:b w:val="0"/>
          <w:i w:val="0"/>
          <w:caps w:val="0"/>
          <w:color w:val="000000"/>
          <w:spacing w:val="0"/>
          <w:kern w:val="2"/>
          <w:sz w:val="21"/>
          <w:szCs w:val="21"/>
          <w:lang w:val="en-US" w:eastAsia="zh-CN" w:bidi="ar-SA"/>
        </w:rPr>
        <w:t>教育部网站</w:t>
      </w:r>
      <w:r>
        <w:rPr>
          <w:rFonts w:hint="eastAsia" w:ascii="宋体" w:hAnsi="宋体" w:eastAsia="宋体" w:cs="宋体"/>
          <w:b w:val="0"/>
          <w:i w:val="0"/>
          <w:caps w:val="0"/>
          <w:color w:val="000000"/>
          <w:spacing w:val="0"/>
          <w:kern w:val="2"/>
          <w:sz w:val="21"/>
          <w:szCs w:val="21"/>
          <w:lang w:val="en-US" w:eastAsia="zh-CN" w:bidi="ar-SA"/>
        </w:rPr>
        <w:fldChar w:fldCharType="end"/>
      </w:r>
      <w:r>
        <w:rPr>
          <w:rFonts w:hint="eastAsia" w:ascii="宋体" w:hAnsi="宋体" w:eastAsia="宋体" w:cs="宋体"/>
          <w:b w:val="0"/>
          <w:i w:val="0"/>
          <w:caps w:val="0"/>
          <w:color w:val="000000"/>
          <w:spacing w:val="0"/>
          <w:kern w:val="2"/>
          <w:sz w:val="21"/>
          <w:szCs w:val="21"/>
          <w:lang w:val="en-US" w:eastAsia="zh-CN" w:bidi="ar-SA"/>
        </w:rPr>
        <w:t>，2017年09月11日）</w:t>
      </w:r>
      <w:r>
        <w:rPr>
          <w:rFonts w:hint="eastAsia" w:ascii="宋体" w:hAnsi="宋体" w:eastAsia="宋体" w:cs="宋体"/>
          <w:b w:val="0"/>
          <w:i w:val="0"/>
          <w:caps w:val="0"/>
          <w:color w:val="000000"/>
          <w:spacing w:val="0"/>
          <w:kern w:val="2"/>
          <w:sz w:val="21"/>
          <w:szCs w:val="21"/>
          <w:lang w:val="en-US" w:eastAsia="zh-CN" w:bidi="ar-SA"/>
        </w:rPr>
        <w:fldChar w:fldCharType="begin"/>
      </w:r>
      <w:r>
        <w:rPr>
          <w:rFonts w:hint="eastAsia" w:ascii="宋体" w:hAnsi="宋体" w:eastAsia="宋体" w:cs="宋体"/>
          <w:b w:val="0"/>
          <w:i w:val="0"/>
          <w:caps w:val="0"/>
          <w:color w:val="000000"/>
          <w:spacing w:val="0"/>
          <w:kern w:val="2"/>
          <w:sz w:val="21"/>
          <w:szCs w:val="21"/>
          <w:lang w:val="en-US" w:eastAsia="zh-CN" w:bidi="ar-SA"/>
        </w:rPr>
        <w:instrText xml:space="preserve"> HYPERLINK "http://www.moe.gov.cn/jyb_xwfb/s6192/s133/s148/201709/t20170912_314239.html" </w:instrText>
      </w:r>
      <w:r>
        <w:rPr>
          <w:rFonts w:hint="eastAsia" w:ascii="宋体" w:hAnsi="宋体" w:eastAsia="宋体" w:cs="宋体"/>
          <w:b w:val="0"/>
          <w:i w:val="0"/>
          <w:caps w:val="0"/>
          <w:color w:val="000000"/>
          <w:spacing w:val="0"/>
          <w:kern w:val="2"/>
          <w:sz w:val="21"/>
          <w:szCs w:val="21"/>
          <w:lang w:val="en-US" w:eastAsia="zh-CN" w:bidi="ar-SA"/>
        </w:rPr>
        <w:fldChar w:fldCharType="separate"/>
      </w:r>
      <w:r>
        <w:rPr>
          <w:rFonts w:hint="eastAsia" w:ascii="宋体" w:hAnsi="宋体" w:eastAsia="宋体" w:cs="宋体"/>
          <w:b w:val="0"/>
          <w:i w:val="0"/>
          <w:caps w:val="0"/>
          <w:color w:val="000000"/>
          <w:spacing w:val="0"/>
          <w:kern w:val="2"/>
          <w:sz w:val="21"/>
          <w:szCs w:val="21"/>
          <w:lang w:val="en-US" w:eastAsia="zh-CN" w:bidi="ar-SA"/>
        </w:rPr>
        <w:t>http://www.moe.gov.cn/jyb_xwfb/s6192/s133/s148/201709/t20170912_314239.html</w:t>
      </w:r>
      <w:r>
        <w:rPr>
          <w:rFonts w:hint="eastAsia" w:ascii="宋体" w:hAnsi="宋体" w:eastAsia="宋体" w:cs="宋体"/>
          <w:b w:val="0"/>
          <w:i w:val="0"/>
          <w:caps w:val="0"/>
          <w:color w:val="000000"/>
          <w:spacing w:val="0"/>
          <w:kern w:val="2"/>
          <w:sz w:val="21"/>
          <w:szCs w:val="21"/>
          <w:lang w:val="en-US" w:eastAsia="zh-CN" w:bidi="ar-SA"/>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480" w:lineRule="atLeast"/>
        <w:ind w:left="0" w:leftChars="0" w:right="0" w:rightChars="0" w:firstLine="0" w:firstLineChars="0"/>
        <w:jc w:val="center"/>
        <w:textAlignment w:val="auto"/>
        <w:outlineLvl w:val="0"/>
        <w:rPr>
          <w:rFonts w:hint="eastAsia"/>
          <w:b/>
          <w:bCs/>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480" w:lineRule="atLeast"/>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4" w:name="_Toc28518"/>
      <w:r>
        <w:rPr>
          <w:rFonts w:hint="eastAsia" w:asciiTheme="minorHAnsi" w:hAnsiTheme="minorHAnsi" w:eastAsiaTheme="minorEastAsia" w:cstheme="minorBidi"/>
          <w:b/>
          <w:bCs/>
          <w:kern w:val="2"/>
          <w:sz w:val="32"/>
          <w:szCs w:val="32"/>
          <w:lang w:val="en-US" w:eastAsia="zh-CN" w:bidi="ar-SA"/>
        </w:rPr>
        <w:t>华中科大本科生学分不达标将转专科</w:t>
      </w:r>
      <w:bookmarkEnd w:id="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日前，一篇名为《关于印发&lt;华中科技大学普通本科生转专科生管理办法（试行）&gt;的通知》的文件在许多华中科技大学学生中热传。根据文件的内容，普通本科生因学业成绩未达到学校要求而受到学籍警示处理，或因其他原因不能坚持正常学习的，可申请转入专科学习，达到专科毕业要求后，按专科毕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关于学籍警示处理的问题，文件中称，学校今后每学年秋季将对普通本科生（新生除外）所获学分梳理一次。对未达到培养计划总学分四分之三（二年级为三分之二）者，给予黄牌警示；对未达到培养计划总学分三分之二（二年级为二分之一）者，给予红牌警示。受到红牌警示或者累计两次受到黄牌警示的，应转入专科学习，否则予以退学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45" w:firstLine="480" w:firstLineChars="200"/>
        <w:textAlignment w:val="auto"/>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根据文件的规定，本科生转入专科学习，必须自转入专科时起三学年内取得专科毕业资格，否则予以退学处理。转专科学习的学生学费按该本科专业学费的75%收取。转专科学生在校学习期间不得转回本科，不得转专业。“本办法从2017级学生开始执行。2016、2015、2014和2013级（五年制）本科生可参照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Style w:val="8"/>
          <w:rFonts w:hint="eastAsia" w:ascii="宋体" w:hAnsi="宋体" w:eastAsia="宋体" w:cs="宋体"/>
          <w:i w:val="0"/>
          <w:caps w:val="0"/>
          <w:color w:val="000000"/>
          <w:spacing w:val="0"/>
          <w:kern w:val="2"/>
          <w:sz w:val="24"/>
          <w:szCs w:val="24"/>
          <w:lang w:val="en-US" w:eastAsia="zh-CN" w:bidi="ar-SA"/>
        </w:rPr>
      </w:pPr>
      <w:r>
        <w:rPr>
          <w:rStyle w:val="8"/>
          <w:rFonts w:hint="eastAsia" w:ascii="宋体" w:hAnsi="宋体" w:eastAsia="宋体" w:cs="宋体"/>
          <w:i w:val="0"/>
          <w:caps w:val="0"/>
          <w:color w:val="000000"/>
          <w:spacing w:val="0"/>
          <w:kern w:val="2"/>
          <w:sz w:val="24"/>
          <w:szCs w:val="24"/>
          <w:lang w:val="en-US" w:eastAsia="zh-CN" w:bidi="ar-SA"/>
        </w:rPr>
        <w:t>老师称此举是退学外的另一种选择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一位化学与化工学院教务科的老师在接受采访时表示，“我们每年都会遇到一些学生，在大学期间很颓废，在学分清理时按照校规应予以退学。但有家长觉得，自己的孩子在原本优秀的情况下，现在被予以退学，接受不了。”他表示，学校层面在校规的余地里，从人性化角度考虑，给予了学生转专科的选择。学生在转入专科后，学习压力会小很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该老师表示，此后学生如果能顺利拿到一张专科的毕业证，比直接被退学了之后，在社会上立足的资本要高一些。“在公平的问题上，首先和在校正常学习正常毕业的学生不构成冲突，而对于这些学分达不到的同学来说，这是给他们的一个人性化选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0" w:rightChars="0" w:firstLine="420" w:firstLineChars="20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2"/>
          <w:sz w:val="21"/>
          <w:szCs w:val="21"/>
          <w:lang w:val="en-US" w:eastAsia="zh-CN" w:bidi="ar-SA"/>
        </w:rPr>
        <w:t>（来源：</w:t>
      </w:r>
      <w:r>
        <w:rPr>
          <w:rFonts w:hint="eastAsia" w:ascii="宋体" w:hAnsi="宋体" w:eastAsia="宋体" w:cs="宋体"/>
          <w:b w:val="0"/>
          <w:i w:val="0"/>
          <w:caps w:val="0"/>
          <w:color w:val="000000"/>
          <w:spacing w:val="0"/>
          <w:kern w:val="2"/>
          <w:sz w:val="21"/>
          <w:szCs w:val="21"/>
          <w:lang w:val="en-US" w:eastAsia="zh-CN" w:bidi="ar-SA"/>
        </w:rPr>
        <w:fldChar w:fldCharType="begin"/>
      </w:r>
      <w:r>
        <w:rPr>
          <w:rFonts w:hint="eastAsia" w:ascii="宋体" w:hAnsi="宋体" w:eastAsia="宋体" w:cs="宋体"/>
          <w:b w:val="0"/>
          <w:i w:val="0"/>
          <w:caps w:val="0"/>
          <w:color w:val="000000"/>
          <w:spacing w:val="0"/>
          <w:kern w:val="2"/>
          <w:sz w:val="21"/>
          <w:szCs w:val="21"/>
          <w:lang w:val="en-US" w:eastAsia="zh-CN" w:bidi="ar-SA"/>
        </w:rPr>
        <w:instrText xml:space="preserve"> HYPERLINK "http://epaper.ynet.com/html/2017-07/29/content_257570.htm?div=-1" </w:instrText>
      </w:r>
      <w:r>
        <w:rPr>
          <w:rFonts w:hint="eastAsia" w:ascii="宋体" w:hAnsi="宋体" w:eastAsia="宋体" w:cs="宋体"/>
          <w:b w:val="0"/>
          <w:i w:val="0"/>
          <w:caps w:val="0"/>
          <w:color w:val="000000"/>
          <w:spacing w:val="0"/>
          <w:kern w:val="2"/>
          <w:sz w:val="21"/>
          <w:szCs w:val="21"/>
          <w:lang w:val="en-US" w:eastAsia="zh-CN" w:bidi="ar-SA"/>
        </w:rPr>
        <w:fldChar w:fldCharType="separate"/>
      </w:r>
      <w:r>
        <w:rPr>
          <w:rFonts w:hint="eastAsia" w:ascii="宋体" w:hAnsi="宋体" w:eastAsia="宋体" w:cs="宋体"/>
          <w:b w:val="0"/>
          <w:i w:val="0"/>
          <w:caps w:val="0"/>
          <w:color w:val="000000"/>
          <w:spacing w:val="0"/>
          <w:kern w:val="2"/>
          <w:sz w:val="21"/>
          <w:szCs w:val="21"/>
          <w:lang w:val="en-US" w:eastAsia="zh-CN" w:bidi="ar-SA"/>
        </w:rPr>
        <w:t>北京青年报</w:t>
      </w:r>
      <w:r>
        <w:rPr>
          <w:rFonts w:hint="eastAsia" w:ascii="宋体" w:hAnsi="宋体" w:eastAsia="宋体" w:cs="宋体"/>
          <w:b w:val="0"/>
          <w:i w:val="0"/>
          <w:caps w:val="0"/>
          <w:color w:val="000000"/>
          <w:spacing w:val="0"/>
          <w:kern w:val="2"/>
          <w:sz w:val="21"/>
          <w:szCs w:val="21"/>
          <w:lang w:val="en-US" w:eastAsia="zh-CN" w:bidi="ar-SA"/>
        </w:rPr>
        <w:fldChar w:fldCharType="end"/>
      </w:r>
      <w:r>
        <w:rPr>
          <w:rFonts w:hint="eastAsia" w:ascii="宋体" w:hAnsi="宋体" w:eastAsia="宋体" w:cs="宋体"/>
          <w:b w:val="0"/>
          <w:i w:val="0"/>
          <w:caps w:val="0"/>
          <w:color w:val="000000"/>
          <w:spacing w:val="0"/>
          <w:kern w:val="2"/>
          <w:sz w:val="21"/>
          <w:szCs w:val="21"/>
          <w:lang w:val="en-US" w:eastAsia="zh-CN" w:bidi="ar-SA"/>
        </w:rPr>
        <w:t>，2017年07月29日）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0" w:rightChars="0" w:firstLine="420" w:firstLineChars="20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2"/>
          <w:sz w:val="21"/>
          <w:szCs w:val="21"/>
          <w:lang w:val="en-US" w:eastAsia="zh-CN" w:bidi="ar-SA"/>
        </w:rPr>
        <w:fldChar w:fldCharType="begin"/>
      </w:r>
      <w:r>
        <w:rPr>
          <w:rFonts w:hint="eastAsia" w:ascii="宋体" w:hAnsi="宋体" w:eastAsia="宋体" w:cs="宋体"/>
          <w:b w:val="0"/>
          <w:i w:val="0"/>
          <w:caps w:val="0"/>
          <w:color w:val="000000"/>
          <w:spacing w:val="0"/>
          <w:kern w:val="2"/>
          <w:sz w:val="21"/>
          <w:szCs w:val="21"/>
          <w:lang w:val="en-US" w:eastAsia="zh-CN" w:bidi="ar-SA"/>
        </w:rPr>
        <w:instrText xml:space="preserve"> HYPERLINK "http://epaper.ynet.com/html/2017-07/29/content_257570.htm?div=-1" </w:instrText>
      </w:r>
      <w:r>
        <w:rPr>
          <w:rFonts w:hint="eastAsia" w:ascii="宋体" w:hAnsi="宋体" w:eastAsia="宋体" w:cs="宋体"/>
          <w:b w:val="0"/>
          <w:i w:val="0"/>
          <w:caps w:val="0"/>
          <w:color w:val="000000"/>
          <w:spacing w:val="0"/>
          <w:kern w:val="2"/>
          <w:sz w:val="21"/>
          <w:szCs w:val="21"/>
          <w:lang w:val="en-US" w:eastAsia="zh-CN" w:bidi="ar-SA"/>
        </w:rPr>
        <w:fldChar w:fldCharType="separate"/>
      </w:r>
      <w:r>
        <w:rPr>
          <w:rFonts w:hint="eastAsia" w:ascii="宋体" w:hAnsi="宋体" w:eastAsia="宋体" w:cs="宋体"/>
          <w:b w:val="0"/>
          <w:i w:val="0"/>
          <w:caps w:val="0"/>
          <w:color w:val="000000"/>
          <w:spacing w:val="0"/>
          <w:kern w:val="2"/>
          <w:sz w:val="21"/>
          <w:szCs w:val="21"/>
          <w:lang w:val="en-US" w:eastAsia="zh-CN" w:bidi="ar-SA"/>
        </w:rPr>
        <w:t>http://epaper.ynet.com/html/2017-07/29/content_257570.htm?div=-1</w:t>
      </w:r>
      <w:r>
        <w:rPr>
          <w:rFonts w:hint="eastAsia" w:ascii="宋体" w:hAnsi="宋体" w:eastAsia="宋体" w:cs="宋体"/>
          <w:b w:val="0"/>
          <w:i w:val="0"/>
          <w:caps w:val="0"/>
          <w:color w:val="000000"/>
          <w:spacing w:val="0"/>
          <w:kern w:val="2"/>
          <w:sz w:val="21"/>
          <w:szCs w:val="21"/>
          <w:lang w:val="en-US" w:eastAsia="zh-CN" w:bidi="ar-SA"/>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0"/>
        <w:rPr>
          <w:rFonts w:hint="eastAsia"/>
          <w:b/>
          <w:bCs/>
          <w:sz w:val="32"/>
          <w:szCs w:val="32"/>
          <w:lang w:val="en-US" w:eastAsia="zh-CN"/>
        </w:rPr>
      </w:pPr>
      <w:bookmarkStart w:id="5" w:name="_Toc29022"/>
      <w:r>
        <w:rPr>
          <w:rFonts w:hint="eastAsia"/>
          <w:b/>
          <w:bCs/>
          <w:sz w:val="32"/>
          <w:szCs w:val="32"/>
          <w:lang w:val="en-US" w:eastAsia="zh-CN"/>
        </w:rPr>
        <w:t>重庆市积极促进高校科技成果转移转化</w:t>
      </w:r>
      <w:bookmarkEnd w:id="5"/>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lang w:val="en-US" w:eastAsia="zh-CN"/>
        </w:rPr>
      </w:pPr>
      <w:r>
        <w:rPr>
          <w:rFonts w:hint="eastAsia" w:ascii="宋体" w:hAnsi="宋体" w:eastAsia="宋体" w:cs="宋体"/>
          <w:b w:val="0"/>
          <w:i w:val="0"/>
          <w:caps w:val="0"/>
          <w:color w:val="000000"/>
          <w:spacing w:val="0"/>
          <w:sz w:val="24"/>
          <w:szCs w:val="24"/>
          <w:lang w:val="en-US" w:eastAsia="zh-CN"/>
        </w:rPr>
        <w:t>重庆市出台提升科技创新能力、建立健全高校科技成果转化机构、建设高校众创空间促进师生创新创业等系列文件，指导推进高校深化科技体制机制改革，完善科研体系，增强原始创新供给能力。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rPr>
      </w:pPr>
      <w:r>
        <w:rPr>
          <w:rStyle w:val="8"/>
          <w:rFonts w:hint="eastAsia" w:ascii="宋体" w:hAnsi="宋体" w:eastAsia="宋体" w:cs="宋体"/>
          <w:i w:val="0"/>
          <w:caps w:val="0"/>
          <w:color w:val="000000"/>
          <w:spacing w:val="0"/>
          <w:sz w:val="24"/>
          <w:szCs w:val="24"/>
        </w:rPr>
        <w:t>强化制度设计，完善政策体系。</w:t>
      </w:r>
      <w:r>
        <w:rPr>
          <w:rFonts w:hint="eastAsia" w:ascii="宋体" w:hAnsi="宋体" w:eastAsia="宋体" w:cs="宋体"/>
          <w:b w:val="0"/>
          <w:i w:val="0"/>
          <w:caps w:val="0"/>
          <w:color w:val="000000"/>
          <w:spacing w:val="0"/>
          <w:sz w:val="24"/>
          <w:szCs w:val="24"/>
        </w:rPr>
        <w:t>出台提升科技创新能力、建立健全高校科技成果转化机构、建设高校众创空间促进师生创新创业等系列文件，指导推进高校深化科技体制机制改革，完善科研体系，增强原始创新供给能力。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rPr>
      </w:pPr>
      <w:r>
        <w:rPr>
          <w:rStyle w:val="8"/>
          <w:rFonts w:hint="eastAsia" w:ascii="宋体" w:hAnsi="宋体" w:eastAsia="宋体" w:cs="宋体"/>
          <w:i w:val="0"/>
          <w:caps w:val="0"/>
          <w:color w:val="000000"/>
          <w:spacing w:val="0"/>
          <w:sz w:val="24"/>
          <w:szCs w:val="24"/>
        </w:rPr>
        <w:t>健全激励机制，激发创新活力。</w:t>
      </w:r>
      <w:r>
        <w:rPr>
          <w:rFonts w:hint="eastAsia" w:ascii="宋体" w:hAnsi="宋体" w:eastAsia="宋体" w:cs="宋体"/>
          <w:b w:val="0"/>
          <w:i w:val="0"/>
          <w:caps w:val="0"/>
          <w:color w:val="000000"/>
          <w:spacing w:val="0"/>
          <w:sz w:val="24"/>
          <w:szCs w:val="24"/>
        </w:rPr>
        <w:t>将科技成果使用权、收益权和处置权下放至高校，提高高校科技人员的成果转化收益比例，对科技人员的奖励不低于净收入50%，主要贡献人员获得份额不低于奖励总额的50%。将创新创业成果纳入高校教师职称评审科研业绩考核范围，鼓励高校科技人员按规定带项目、成果在岗或离岗创新创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rPr>
      </w:pPr>
      <w:r>
        <w:rPr>
          <w:rStyle w:val="8"/>
          <w:rFonts w:hint="eastAsia" w:ascii="宋体" w:hAnsi="宋体" w:eastAsia="宋体" w:cs="宋体"/>
          <w:i w:val="0"/>
          <w:caps w:val="0"/>
          <w:color w:val="000000"/>
          <w:spacing w:val="0"/>
          <w:sz w:val="24"/>
          <w:szCs w:val="24"/>
        </w:rPr>
        <w:t>完善机构设置，组建合作平台。</w:t>
      </w:r>
      <w:r>
        <w:rPr>
          <w:rFonts w:hint="eastAsia" w:ascii="宋体" w:hAnsi="宋体" w:eastAsia="宋体" w:cs="宋体"/>
          <w:b w:val="0"/>
          <w:i w:val="0"/>
          <w:caps w:val="0"/>
          <w:color w:val="000000"/>
          <w:spacing w:val="0"/>
          <w:sz w:val="24"/>
          <w:szCs w:val="24"/>
        </w:rPr>
        <w:t>推动高校组建科技成果转化机构，鼓励高校设立科技成果转化岗位，在人员编制、职称评审等方面给予支持。鼓励有条件的高校探索建立专业化的技术转移机构，建立各类成果转化平台及产学研合作机构和联盟近300个、国家大学科技园2个、高校市级众创空间91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rPr>
      </w:pPr>
      <w:r>
        <w:rPr>
          <w:rStyle w:val="8"/>
          <w:rFonts w:hint="eastAsia" w:ascii="宋体" w:hAnsi="宋体" w:eastAsia="宋体" w:cs="宋体"/>
          <w:i w:val="0"/>
          <w:caps w:val="0"/>
          <w:color w:val="000000"/>
          <w:spacing w:val="0"/>
          <w:sz w:val="24"/>
          <w:szCs w:val="24"/>
        </w:rPr>
        <w:t>创新金融服务，推动成果转化。</w:t>
      </w:r>
      <w:r>
        <w:rPr>
          <w:rFonts w:hint="eastAsia" w:ascii="宋体" w:hAnsi="宋体" w:eastAsia="宋体" w:cs="宋体"/>
          <w:b w:val="0"/>
          <w:i w:val="0"/>
          <w:caps w:val="0"/>
          <w:color w:val="000000"/>
          <w:spacing w:val="0"/>
          <w:sz w:val="24"/>
          <w:szCs w:val="24"/>
        </w:rPr>
        <w:t>每年投入500万元财政资金，围绕全市重点支柱产业和战略性新兴产业发展需要，遴选高校优秀科技成果转化项目予以资助。引导高校积极争取社会资本以风险投资基金等方式，提供融资贷款、担保租赁等金融服务，参与高校科技创新活动，推进科技成果转化资本化、市场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lang w:val="en-US" w:eastAsia="zh-CN"/>
        </w:rPr>
      </w:pPr>
      <w:r>
        <w:rPr>
          <w:rFonts w:hint="eastAsia" w:ascii="宋体" w:hAnsi="宋体" w:eastAsia="宋体" w:cs="宋体"/>
          <w:b w:val="0"/>
          <w:i w:val="0"/>
          <w:caps w:val="0"/>
          <w:color w:val="000000"/>
          <w:spacing w:val="0"/>
          <w:sz w:val="21"/>
          <w:szCs w:val="21"/>
          <w:lang w:eastAsia="zh-CN"/>
        </w:rPr>
        <w:t>（来源：</w:t>
      </w:r>
      <w:r>
        <w:rPr>
          <w:rFonts w:hint="eastAsia" w:ascii="宋体" w:hAnsi="宋体" w:eastAsia="宋体" w:cs="宋体"/>
          <w:b w:val="0"/>
          <w:i w:val="0"/>
          <w:caps w:val="0"/>
          <w:color w:val="000000"/>
          <w:spacing w:val="0"/>
          <w:sz w:val="21"/>
          <w:szCs w:val="21"/>
          <w:lang w:eastAsia="zh-CN"/>
        </w:rPr>
        <w:fldChar w:fldCharType="begin"/>
      </w:r>
      <w:r>
        <w:rPr>
          <w:rFonts w:hint="eastAsia" w:ascii="宋体" w:hAnsi="宋体" w:eastAsia="宋体" w:cs="宋体"/>
          <w:b w:val="0"/>
          <w:i w:val="0"/>
          <w:caps w:val="0"/>
          <w:color w:val="000000"/>
          <w:spacing w:val="0"/>
          <w:sz w:val="21"/>
          <w:szCs w:val="21"/>
          <w:lang w:eastAsia="zh-CN"/>
        </w:rPr>
        <w:instrText xml:space="preserve"> HYPERLINK "http://www.moe.gov.cn/jyb_xwfb/s6192/s222/moe_1754/201709/t20170907_313755.html" </w:instrText>
      </w:r>
      <w:r>
        <w:rPr>
          <w:rFonts w:hint="eastAsia" w:ascii="宋体" w:hAnsi="宋体" w:eastAsia="宋体" w:cs="宋体"/>
          <w:b w:val="0"/>
          <w:i w:val="0"/>
          <w:caps w:val="0"/>
          <w:color w:val="000000"/>
          <w:spacing w:val="0"/>
          <w:sz w:val="21"/>
          <w:szCs w:val="21"/>
          <w:lang w:eastAsia="zh-CN"/>
        </w:rPr>
        <w:fldChar w:fldCharType="separate"/>
      </w:r>
      <w:r>
        <w:rPr>
          <w:rStyle w:val="13"/>
          <w:rFonts w:hint="eastAsia" w:ascii="宋体" w:hAnsi="宋体" w:eastAsia="宋体" w:cs="宋体"/>
          <w:b w:val="0"/>
          <w:i w:val="0"/>
          <w:caps w:val="0"/>
          <w:spacing w:val="0"/>
          <w:sz w:val="21"/>
          <w:szCs w:val="21"/>
          <w:lang w:eastAsia="zh-CN"/>
        </w:rPr>
        <w:t>教育部网站</w:t>
      </w:r>
      <w:r>
        <w:rPr>
          <w:rFonts w:hint="eastAsia" w:ascii="宋体" w:hAnsi="宋体" w:eastAsia="宋体" w:cs="宋体"/>
          <w:b w:val="0"/>
          <w:i w:val="0"/>
          <w:caps w:val="0"/>
          <w:color w:val="000000"/>
          <w:spacing w:val="0"/>
          <w:sz w:val="21"/>
          <w:szCs w:val="21"/>
          <w:lang w:eastAsia="zh-CN"/>
        </w:rPr>
        <w:fldChar w:fldCharType="end"/>
      </w:r>
      <w:r>
        <w:rPr>
          <w:rFonts w:hint="eastAsia" w:ascii="宋体" w:hAnsi="宋体" w:eastAsia="宋体" w:cs="宋体"/>
          <w:b w:val="0"/>
          <w:i w:val="0"/>
          <w:caps w:val="0"/>
          <w:color w:val="000000"/>
          <w:spacing w:val="0"/>
          <w:sz w:val="21"/>
          <w:szCs w:val="21"/>
          <w:lang w:eastAsia="zh-CN"/>
        </w:rPr>
        <w:t>，</w:t>
      </w:r>
      <w:r>
        <w:rPr>
          <w:rFonts w:hint="eastAsia" w:ascii="宋体" w:hAnsi="宋体" w:eastAsia="宋体" w:cs="宋体"/>
          <w:b w:val="0"/>
          <w:i w:val="0"/>
          <w:caps w:val="0"/>
          <w:color w:val="000000"/>
          <w:spacing w:val="0"/>
          <w:sz w:val="21"/>
          <w:szCs w:val="21"/>
          <w:lang w:val="en-US" w:eastAsia="zh-CN"/>
        </w:rPr>
        <w:t>2017年09月07日）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lang w:val="en-US" w:eastAsia="zh-CN"/>
        </w:rPr>
      </w:pPr>
      <w:r>
        <w:rPr>
          <w:rFonts w:hint="eastAsia" w:ascii="宋体" w:hAnsi="宋体" w:eastAsia="宋体" w:cs="宋体"/>
          <w:b w:val="0"/>
          <w:i w:val="0"/>
          <w:caps w:val="0"/>
          <w:color w:val="000000"/>
          <w:spacing w:val="0"/>
          <w:sz w:val="21"/>
          <w:szCs w:val="21"/>
          <w:lang w:eastAsia="zh-CN"/>
        </w:rPr>
        <w:fldChar w:fldCharType="begin"/>
      </w:r>
      <w:r>
        <w:rPr>
          <w:rFonts w:hint="eastAsia" w:ascii="宋体" w:hAnsi="宋体" w:eastAsia="宋体" w:cs="宋体"/>
          <w:b w:val="0"/>
          <w:i w:val="0"/>
          <w:caps w:val="0"/>
          <w:color w:val="000000"/>
          <w:spacing w:val="0"/>
          <w:sz w:val="21"/>
          <w:szCs w:val="21"/>
          <w:lang w:eastAsia="zh-CN"/>
        </w:rPr>
        <w:instrText xml:space="preserve"> HYPERLINK "http://www.moe.gov.cn/jyb_xwfb/s6192/s222/moe_1754/201709/t20170907_313755.html" </w:instrText>
      </w:r>
      <w:r>
        <w:rPr>
          <w:rFonts w:hint="eastAsia" w:ascii="宋体" w:hAnsi="宋体" w:eastAsia="宋体" w:cs="宋体"/>
          <w:b w:val="0"/>
          <w:i w:val="0"/>
          <w:caps w:val="0"/>
          <w:color w:val="000000"/>
          <w:spacing w:val="0"/>
          <w:sz w:val="21"/>
          <w:szCs w:val="21"/>
          <w:lang w:eastAsia="zh-CN"/>
        </w:rPr>
        <w:fldChar w:fldCharType="separate"/>
      </w:r>
      <w:r>
        <w:rPr>
          <w:rFonts w:hint="eastAsia" w:ascii="宋体" w:hAnsi="宋体" w:eastAsia="宋体" w:cs="宋体"/>
          <w:b w:val="0"/>
          <w:i w:val="0"/>
          <w:caps w:val="0"/>
          <w:color w:val="000000"/>
          <w:spacing w:val="0"/>
          <w:sz w:val="21"/>
          <w:szCs w:val="21"/>
          <w:lang w:eastAsia="zh-CN"/>
        </w:rPr>
        <w:t>http://www.moe.gov.cn/jyb_xwfb/s6192/s222/moe_1754/201709/t20170907_313755.html</w:t>
      </w:r>
      <w:r>
        <w:rPr>
          <w:rFonts w:hint="eastAsia" w:ascii="宋体" w:hAnsi="宋体" w:eastAsia="宋体" w:cs="宋体"/>
          <w:b w:val="0"/>
          <w:i w:val="0"/>
          <w:caps w:val="0"/>
          <w:color w:val="000000"/>
          <w:spacing w:val="0"/>
          <w:sz w:val="21"/>
          <w:szCs w:val="21"/>
          <w:lang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宋体" w:hAnsi="宋体" w:eastAsia="宋体" w:cs="宋体"/>
          <w:b w:val="0"/>
          <w:i w:val="0"/>
          <w:caps w:val="0"/>
          <w:color w:val="000000"/>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313" w:afterLines="100" w:afterAutospacing="0" w:line="480" w:lineRule="exact"/>
        <w:ind w:left="0" w:leftChars="0" w:right="0" w:rightChars="0" w:firstLine="0" w:firstLineChars="0"/>
        <w:jc w:val="center"/>
        <w:textAlignment w:val="auto"/>
        <w:outlineLvl w:val="9"/>
        <w:rPr>
          <w:rFonts w:hint="eastAsia" w:asciiTheme="minorHAnsi" w:hAnsiTheme="minorHAnsi" w:eastAsiaTheme="minorEastAsia" w:cstheme="minorBidi"/>
          <w:b/>
          <w:bCs/>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313" w:afterLines="100" w:afterAutospacing="0" w:line="480" w:lineRule="exact"/>
        <w:ind w:left="0" w:leftChars="0" w:right="0" w:rightChars="0" w:firstLine="0" w:firstLineChars="0"/>
        <w:jc w:val="center"/>
        <w:textAlignment w:val="auto"/>
        <w:outlineLvl w:val="9"/>
        <w:rPr>
          <w:rFonts w:hint="eastAsia" w:asciiTheme="minorHAnsi" w:hAnsiTheme="minorHAnsi" w:eastAsiaTheme="minorEastAsia" w:cstheme="minorBidi"/>
          <w:b/>
          <w:bCs/>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313" w:afterLines="100" w:afterAutospacing="0" w:line="480" w:lineRule="exact"/>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6" w:name="_Toc24778"/>
      <w:r>
        <w:rPr>
          <w:rFonts w:hint="eastAsia" w:asciiTheme="minorHAnsi" w:hAnsiTheme="minorHAnsi" w:eastAsiaTheme="minorEastAsia" w:cstheme="minorBidi"/>
          <w:b/>
          <w:bCs/>
          <w:kern w:val="2"/>
          <w:sz w:val="32"/>
          <w:szCs w:val="32"/>
          <w:lang w:val="en-US" w:eastAsia="zh-CN" w:bidi="ar-SA"/>
        </w:rPr>
        <w:t>新疆出台高等学校本科教育教学改革方案</w:t>
      </w:r>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default" w:ascii="宋体" w:hAnsi="宋体" w:eastAsia="宋体" w:cs="宋体"/>
          <w:b w:val="0"/>
          <w:i w:val="0"/>
          <w:caps w:val="0"/>
          <w:color w:val="000000"/>
          <w:spacing w:val="0"/>
          <w:kern w:val="2"/>
          <w:sz w:val="24"/>
          <w:szCs w:val="24"/>
          <w:lang w:val="en-US" w:eastAsia="zh-CN" w:bidi="ar-SA"/>
        </w:rPr>
      </w:pPr>
      <w:r>
        <w:rPr>
          <w:rFonts w:hint="default" w:ascii="宋体" w:hAnsi="宋体" w:eastAsia="宋体" w:cs="宋体"/>
          <w:b w:val="0"/>
          <w:i w:val="0"/>
          <w:caps w:val="0"/>
          <w:color w:val="000000"/>
          <w:spacing w:val="0"/>
          <w:kern w:val="2"/>
          <w:sz w:val="24"/>
          <w:szCs w:val="24"/>
          <w:lang w:val="en-US" w:eastAsia="zh-CN" w:bidi="ar-SA"/>
        </w:rPr>
        <w:t>8月29日，《新疆维吾尔自治区高等学校本科教育教学改革工程实施方案》（以下简称“本科教学工程”）出台，方案提到，到2020年，让学科专业结构和人才培养类型结构更适应国家和区域经济社会发展的需要。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default"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w:t>
      </w:r>
      <w:r>
        <w:rPr>
          <w:rFonts w:hint="default" w:ascii="宋体" w:hAnsi="宋体" w:eastAsia="宋体" w:cs="宋体"/>
          <w:b w:val="0"/>
          <w:i w:val="0"/>
          <w:caps w:val="0"/>
          <w:color w:val="000000"/>
          <w:spacing w:val="0"/>
          <w:kern w:val="2"/>
          <w:sz w:val="24"/>
          <w:szCs w:val="24"/>
          <w:lang w:val="en-US" w:eastAsia="zh-CN" w:bidi="ar-SA"/>
        </w:rPr>
        <w:t>本科教学工程</w:t>
      </w:r>
      <w:r>
        <w:rPr>
          <w:rFonts w:hint="eastAsia" w:ascii="宋体" w:hAnsi="宋体" w:eastAsia="宋体" w:cs="宋体"/>
          <w:b w:val="0"/>
          <w:i w:val="0"/>
          <w:caps w:val="0"/>
          <w:color w:val="000000"/>
          <w:spacing w:val="0"/>
          <w:kern w:val="2"/>
          <w:sz w:val="24"/>
          <w:szCs w:val="24"/>
          <w:lang w:val="en-US" w:eastAsia="zh-CN" w:bidi="ar-SA"/>
        </w:rPr>
        <w:t>”</w:t>
      </w:r>
      <w:r>
        <w:rPr>
          <w:rFonts w:hint="default" w:ascii="宋体" w:hAnsi="宋体" w:eastAsia="宋体" w:cs="宋体"/>
          <w:b w:val="0"/>
          <w:i w:val="0"/>
          <w:caps w:val="0"/>
          <w:color w:val="000000"/>
          <w:spacing w:val="0"/>
          <w:kern w:val="2"/>
          <w:sz w:val="24"/>
          <w:szCs w:val="24"/>
          <w:lang w:val="en-US" w:eastAsia="zh-CN" w:bidi="ar-SA"/>
        </w:rPr>
        <w:t>的建设内容包含了重点专业建设、实践教学平台建设项目、教师教学能力提升类项目、应用型转型发展项目、创新创业教育改革项目、优质资源共享建设项目。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default" w:ascii="宋体" w:hAnsi="宋体" w:eastAsia="宋体" w:cs="宋体"/>
          <w:b w:val="0"/>
          <w:i w:val="0"/>
          <w:caps w:val="0"/>
          <w:color w:val="000000"/>
          <w:spacing w:val="0"/>
          <w:kern w:val="2"/>
          <w:sz w:val="24"/>
          <w:szCs w:val="24"/>
          <w:lang w:val="en-US" w:eastAsia="zh-CN" w:bidi="ar-SA"/>
        </w:rPr>
      </w:pPr>
      <w:r>
        <w:rPr>
          <w:rFonts w:hint="default" w:ascii="宋体" w:hAnsi="宋体" w:eastAsia="宋体" w:cs="宋体"/>
          <w:b w:val="0"/>
          <w:i w:val="0"/>
          <w:caps w:val="0"/>
          <w:color w:val="000000"/>
          <w:spacing w:val="0"/>
          <w:kern w:val="2"/>
          <w:sz w:val="24"/>
          <w:szCs w:val="24"/>
          <w:lang w:val="en-US" w:eastAsia="zh-CN" w:bidi="ar-SA"/>
        </w:rPr>
        <w:t>为培养一批服务于新疆产业优化、转型升级的战略新兴专业，在“十三五”期间，要建设50个自治区级重点专业、区级实验教学示范中心。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240" w:firstLineChars="100"/>
        <w:jc w:val="both"/>
        <w:textAlignment w:val="auto"/>
        <w:outlineLvl w:val="9"/>
        <w:rPr>
          <w:rFonts w:hint="default" w:ascii="宋体" w:hAnsi="宋体" w:eastAsia="宋体" w:cs="宋体"/>
          <w:b w:val="0"/>
          <w:i w:val="0"/>
          <w:caps w:val="0"/>
          <w:color w:val="000000"/>
          <w:spacing w:val="0"/>
          <w:kern w:val="2"/>
          <w:sz w:val="24"/>
          <w:szCs w:val="24"/>
          <w:lang w:val="en-US" w:eastAsia="zh-CN" w:bidi="ar-SA"/>
        </w:rPr>
      </w:pPr>
      <w:r>
        <w:rPr>
          <w:rFonts w:hint="default" w:ascii="宋体" w:hAnsi="宋体" w:eastAsia="宋体" w:cs="宋体"/>
          <w:b w:val="0"/>
          <w:i w:val="0"/>
          <w:caps w:val="0"/>
          <w:color w:val="000000"/>
          <w:spacing w:val="0"/>
          <w:kern w:val="2"/>
          <w:sz w:val="24"/>
          <w:szCs w:val="24"/>
          <w:lang w:val="en-US" w:eastAsia="zh-CN" w:bidi="ar-SA"/>
        </w:rPr>
        <w:t>　与此同时，拟建设20个区级虚拟仿真实验教学示范中心，重点支持能够替代实体实验教学短期内无法具备条件的虚拟中心建设，促进虚拟仿真实验中心与实体实验中心资源互惠互补。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0"/>
        <w:textAlignment w:val="auto"/>
        <w:rPr>
          <w:rFonts w:hint="default" w:ascii="宋体" w:hAnsi="宋体" w:eastAsia="宋体" w:cs="宋体"/>
          <w:b w:val="0"/>
          <w:i w:val="0"/>
          <w:caps w:val="0"/>
          <w:color w:val="000000"/>
          <w:spacing w:val="0"/>
          <w:kern w:val="2"/>
          <w:sz w:val="24"/>
          <w:szCs w:val="24"/>
          <w:lang w:val="en-US" w:eastAsia="zh-CN" w:bidi="ar-SA"/>
        </w:rPr>
      </w:pPr>
      <w:r>
        <w:rPr>
          <w:rFonts w:hint="default" w:ascii="宋体" w:hAnsi="宋体" w:eastAsia="宋体" w:cs="宋体"/>
          <w:b w:val="0"/>
          <w:i w:val="0"/>
          <w:caps w:val="0"/>
          <w:color w:val="000000"/>
          <w:spacing w:val="0"/>
          <w:kern w:val="2"/>
          <w:sz w:val="24"/>
          <w:szCs w:val="24"/>
          <w:lang w:val="en-US" w:eastAsia="zh-CN" w:bidi="ar-SA"/>
        </w:rPr>
        <w:t>　　据自治区教育厅相关负责人介绍，“十三五”期间，还计划支持高等学校依托企业、事业单位、科研院所合作新建约40个共享共用的大学生校外实践教学基地，推动优秀实践教学基地资源面向全区高校开放。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0"/>
        <w:textAlignment w:val="auto"/>
        <w:rPr>
          <w:rFonts w:hint="default" w:ascii="宋体" w:hAnsi="宋体" w:eastAsia="宋体" w:cs="宋体"/>
          <w:b w:val="0"/>
          <w:i w:val="0"/>
          <w:caps w:val="0"/>
          <w:color w:val="000000"/>
          <w:spacing w:val="0"/>
          <w:kern w:val="2"/>
          <w:sz w:val="24"/>
          <w:szCs w:val="24"/>
          <w:lang w:val="en-US" w:eastAsia="zh-CN" w:bidi="ar-SA"/>
        </w:rPr>
      </w:pPr>
      <w:r>
        <w:rPr>
          <w:rFonts w:hint="default" w:ascii="宋体" w:hAnsi="宋体" w:eastAsia="宋体" w:cs="宋体"/>
          <w:b w:val="0"/>
          <w:i w:val="0"/>
          <w:caps w:val="0"/>
          <w:color w:val="000000"/>
          <w:spacing w:val="0"/>
          <w:kern w:val="2"/>
          <w:sz w:val="24"/>
          <w:szCs w:val="24"/>
          <w:lang w:val="en-US" w:eastAsia="zh-CN" w:bidi="ar-SA"/>
        </w:rPr>
        <w:t>　　对于教师教学能力的提升，采用“校内+校外”的培育模式，建设5个左右区级教师教学发展中心，开启国际化人才培养项目，每年支持教学改革研究类项目100项左右，为学校的教学管理和教学改革明确方向。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textAlignment w:val="auto"/>
        <w:rPr>
          <w:rFonts w:hint="default" w:ascii="宋体" w:hAnsi="宋体" w:eastAsia="宋体" w:cs="宋体"/>
          <w:b w:val="0"/>
          <w:i w:val="0"/>
          <w:caps w:val="0"/>
          <w:color w:val="000000"/>
          <w:spacing w:val="0"/>
          <w:kern w:val="2"/>
          <w:sz w:val="24"/>
          <w:szCs w:val="24"/>
          <w:lang w:val="en-US" w:eastAsia="zh-CN" w:bidi="ar-SA"/>
        </w:rPr>
      </w:pPr>
      <w:r>
        <w:rPr>
          <w:rFonts w:hint="default" w:ascii="宋体" w:hAnsi="宋体" w:eastAsia="宋体" w:cs="宋体"/>
          <w:b w:val="0"/>
          <w:i w:val="0"/>
          <w:caps w:val="0"/>
          <w:color w:val="000000"/>
          <w:spacing w:val="0"/>
          <w:kern w:val="2"/>
          <w:sz w:val="24"/>
          <w:szCs w:val="24"/>
          <w:lang w:val="en-US" w:eastAsia="zh-CN" w:bidi="ar-SA"/>
        </w:rPr>
        <w:t>为培养学生创新精神，自治区启动了大学生创新创业训练计划，每年立项建设1500项大学生创新创业训练计划项目，举办“互联网+”全国大学生创新创业大赛，为大学生提供更多创新创业体验机会。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420" w:firstLineChars="200"/>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2"/>
          <w:sz w:val="21"/>
          <w:szCs w:val="21"/>
          <w:lang w:val="en-US" w:eastAsia="zh-CN" w:bidi="ar-SA"/>
        </w:rPr>
        <w:t>（来源：</w:t>
      </w:r>
      <w:r>
        <w:rPr>
          <w:rFonts w:hint="eastAsia" w:ascii="宋体" w:hAnsi="宋体" w:eastAsia="宋体" w:cs="宋体"/>
          <w:b w:val="0"/>
          <w:i w:val="0"/>
          <w:caps w:val="0"/>
          <w:color w:val="000000"/>
          <w:spacing w:val="0"/>
          <w:kern w:val="2"/>
          <w:sz w:val="21"/>
          <w:szCs w:val="21"/>
          <w:lang w:val="en-US" w:eastAsia="zh-CN" w:bidi="ar-SA"/>
        </w:rPr>
        <w:fldChar w:fldCharType="begin"/>
      </w:r>
      <w:r>
        <w:rPr>
          <w:rFonts w:hint="eastAsia" w:ascii="宋体" w:hAnsi="宋体" w:eastAsia="宋体" w:cs="宋体"/>
          <w:b w:val="0"/>
          <w:i w:val="0"/>
          <w:caps w:val="0"/>
          <w:color w:val="000000"/>
          <w:spacing w:val="0"/>
          <w:kern w:val="2"/>
          <w:sz w:val="21"/>
          <w:szCs w:val="21"/>
          <w:lang w:val="en-US" w:eastAsia="zh-CN" w:bidi="ar-SA"/>
        </w:rPr>
        <w:instrText xml:space="preserve"> HYPERLINK "http://www.chinaxinjiang.cn/zixun/xjxw/201708/t20170830_557420.htm" </w:instrText>
      </w:r>
      <w:r>
        <w:rPr>
          <w:rFonts w:hint="eastAsia" w:ascii="宋体" w:hAnsi="宋体" w:eastAsia="宋体" w:cs="宋体"/>
          <w:b w:val="0"/>
          <w:i w:val="0"/>
          <w:caps w:val="0"/>
          <w:color w:val="000000"/>
          <w:spacing w:val="0"/>
          <w:kern w:val="2"/>
          <w:sz w:val="21"/>
          <w:szCs w:val="21"/>
          <w:lang w:val="en-US" w:eastAsia="zh-CN" w:bidi="ar-SA"/>
        </w:rPr>
        <w:fldChar w:fldCharType="separate"/>
      </w:r>
      <w:r>
        <w:rPr>
          <w:rStyle w:val="13"/>
          <w:rFonts w:hint="eastAsia" w:ascii="宋体" w:hAnsi="宋体" w:eastAsia="宋体" w:cs="宋体"/>
          <w:b w:val="0"/>
          <w:i w:val="0"/>
          <w:caps w:val="0"/>
          <w:color w:val="000000"/>
          <w:spacing w:val="0"/>
          <w:kern w:val="2"/>
          <w:sz w:val="21"/>
          <w:szCs w:val="21"/>
          <w:lang w:val="en-US" w:eastAsia="zh-CN" w:bidi="ar-SA"/>
        </w:rPr>
        <w:t>新疆网</w:t>
      </w:r>
      <w:r>
        <w:rPr>
          <w:rFonts w:hint="eastAsia" w:ascii="宋体" w:hAnsi="宋体" w:eastAsia="宋体" w:cs="宋体"/>
          <w:b w:val="0"/>
          <w:i w:val="0"/>
          <w:caps w:val="0"/>
          <w:color w:val="000000"/>
          <w:spacing w:val="0"/>
          <w:kern w:val="2"/>
          <w:sz w:val="21"/>
          <w:szCs w:val="21"/>
          <w:lang w:val="en-US" w:eastAsia="zh-CN" w:bidi="ar-SA"/>
        </w:rPr>
        <w:fldChar w:fldCharType="end"/>
      </w:r>
      <w:r>
        <w:rPr>
          <w:rFonts w:hint="eastAsia" w:ascii="宋体" w:hAnsi="宋体" w:eastAsia="宋体" w:cs="宋体"/>
          <w:b w:val="0"/>
          <w:i w:val="0"/>
          <w:caps w:val="0"/>
          <w:color w:val="000000"/>
          <w:spacing w:val="0"/>
          <w:kern w:val="2"/>
          <w:sz w:val="21"/>
          <w:szCs w:val="21"/>
          <w:lang w:val="en-US" w:eastAsia="zh-CN" w:bidi="ar-SA"/>
        </w:rPr>
        <w:t>，2017年08月30日）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420" w:firstLineChars="200"/>
        <w:rPr>
          <w:rFonts w:hint="default" w:ascii="宋体" w:hAnsi="宋体" w:eastAsia="宋体" w:cs="宋体"/>
          <w:b w:val="0"/>
          <w:i w:val="0"/>
          <w:caps w:val="0"/>
          <w:color w:val="000000"/>
          <w:spacing w:val="0"/>
          <w:kern w:val="2"/>
          <w:sz w:val="21"/>
          <w:szCs w:val="21"/>
          <w:lang w:val="en-US" w:eastAsia="zh-CN" w:bidi="ar-SA"/>
        </w:rPr>
      </w:pPr>
      <w:r>
        <w:rPr>
          <w:rFonts w:ascii="宋体" w:hAnsi="宋体" w:eastAsia="宋体" w:cs="宋体"/>
          <w:sz w:val="21"/>
          <w:szCs w:val="21"/>
        </w:rPr>
        <w:fldChar w:fldCharType="begin"/>
      </w:r>
      <w:r>
        <w:rPr>
          <w:rFonts w:ascii="宋体" w:hAnsi="宋体" w:eastAsia="宋体" w:cs="宋体"/>
          <w:sz w:val="21"/>
          <w:szCs w:val="21"/>
        </w:rPr>
        <w:instrText xml:space="preserve"> HYPERLINK "http://www.chinaxinjiang.cn/zixun/xjxw/201708/t20170830_557420.htm" </w:instrText>
      </w:r>
      <w:r>
        <w:rPr>
          <w:rFonts w:ascii="宋体" w:hAnsi="宋体" w:eastAsia="宋体" w:cs="宋体"/>
          <w:sz w:val="21"/>
          <w:szCs w:val="21"/>
        </w:rPr>
        <w:fldChar w:fldCharType="separate"/>
      </w:r>
      <w:r>
        <w:rPr>
          <w:rStyle w:val="13"/>
          <w:rFonts w:ascii="宋体" w:hAnsi="宋体" w:eastAsia="宋体" w:cs="宋体"/>
          <w:sz w:val="21"/>
          <w:szCs w:val="21"/>
        </w:rPr>
        <w:t>http://www.chinaxinjiang.cn/zixun/xjxw/201708/t20170830_557420.htm</w:t>
      </w:r>
      <w:r>
        <w:rPr>
          <w:rFonts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r>
        <w:rPr>
          <w:rFonts w:hint="eastAsia"/>
          <w:b/>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r>
        <w:rPr>
          <w:rFonts w:hint="eastAsia"/>
          <w:b/>
          <w:bCs/>
          <w:sz w:val="36"/>
          <w:szCs w:val="36"/>
          <w:lang w:val="en-US" w:eastAsia="zh-CN"/>
        </w:rPr>
        <w:t>【学术视点】</w:t>
      </w:r>
      <w:bookmarkStart w:id="7" w:name="_Toc492493763"/>
      <w:bookmarkStart w:id="8" w:name="_Toc30088"/>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9" w:name="_Toc2679"/>
      <w:r>
        <w:rPr>
          <w:rFonts w:hint="eastAsia" w:asciiTheme="minorHAnsi" w:hAnsiTheme="minorHAnsi" w:eastAsiaTheme="minorEastAsia" w:cstheme="minorBidi"/>
          <w:b/>
          <w:bCs/>
          <w:kern w:val="2"/>
          <w:sz w:val="32"/>
          <w:szCs w:val="32"/>
          <w:lang w:val="en-US" w:eastAsia="zh-CN" w:bidi="ar-SA"/>
        </w:rPr>
        <w:t>高校供给侧改革如何树“三观”</w:t>
      </w:r>
      <w:bookmarkEnd w:id="7"/>
      <w:bookmarkEnd w:id="8"/>
      <w:bookmarkEnd w:id="9"/>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20"/>
        <w:jc w:val="both"/>
        <w:textAlignment w:val="auto"/>
        <w:rPr>
          <w:rFonts w:ascii="宋体" w:hAnsi="宋体" w:cs="宋体"/>
          <w:color w:val="333333"/>
          <w:sz w:val="24"/>
          <w:szCs w:val="24"/>
          <w:shd w:val="clear" w:color="auto" w:fill="FFFFFF"/>
        </w:rPr>
      </w:pPr>
      <w:r>
        <w:rPr>
          <w:rFonts w:ascii="宋体" w:hAnsi="宋体" w:cs="宋体"/>
          <w:color w:val="333333"/>
          <w:sz w:val="24"/>
          <w:szCs w:val="24"/>
          <w:shd w:val="clear" w:color="auto" w:fill="FFFFFF"/>
        </w:rPr>
        <w:t>上世纪末以来，我国高等教育得到了空前的发展，成绩举世瞩目。但同时</w:t>
      </w:r>
      <w:r>
        <w:rPr>
          <w:rFonts w:hint="eastAsia" w:ascii="宋体" w:hAnsi="宋体" w:cs="宋体"/>
          <w:color w:val="333333"/>
          <w:sz w:val="24"/>
          <w:szCs w:val="24"/>
          <w:shd w:val="clear" w:color="auto" w:fill="FFFFFF"/>
          <w:lang w:eastAsia="zh-CN"/>
        </w:rPr>
        <w:t>，</w:t>
      </w:r>
      <w:r>
        <w:rPr>
          <w:rFonts w:ascii="宋体" w:hAnsi="宋体" w:cs="宋体"/>
          <w:color w:val="333333"/>
          <w:sz w:val="24"/>
          <w:szCs w:val="24"/>
          <w:shd w:val="clear" w:color="auto" w:fill="FFFFFF"/>
        </w:rPr>
        <w:t>在多年的高速增长中也出现了高等教育结构不合理、供给与需求脱节的问题。针对这些问题，高校可采用类似于经济领域的做法，推进高等教育供给侧的结构性改革，实现我国高等教育未来的均衡协调持续发展。</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20"/>
        <w:textAlignment w:val="auto"/>
        <w:rPr>
          <w:rFonts w:ascii="宋体" w:hAnsi="宋体" w:cs="宋体"/>
          <w:color w:val="333333"/>
          <w:sz w:val="24"/>
          <w:szCs w:val="24"/>
          <w:shd w:val="clear" w:color="auto" w:fill="FFFFFF"/>
        </w:rPr>
      </w:pPr>
      <w:r>
        <w:rPr>
          <w:rFonts w:ascii="宋体" w:hAnsi="宋体" w:cs="宋体"/>
          <w:b/>
          <w:bCs/>
          <w:color w:val="333333"/>
          <w:sz w:val="24"/>
          <w:szCs w:val="24"/>
          <w:shd w:val="clear" w:color="auto" w:fill="FFFFFF"/>
        </w:rPr>
        <w:t>一是在宏观层面建立多元的评价体系和相应的资源投入机制。</w:t>
      </w:r>
      <w:r>
        <w:rPr>
          <w:rFonts w:ascii="宋体" w:hAnsi="宋体" w:cs="宋体"/>
          <w:color w:val="333333"/>
          <w:sz w:val="24"/>
          <w:szCs w:val="24"/>
          <w:shd w:val="clear" w:color="auto" w:fill="FFFFFF"/>
        </w:rPr>
        <w:t>对于处于金字塔尖的少数高水平研究型大学而言，必须以学科水平作为它们的评价导向，促使它们进入世界一流。除此以外的大多数本科高校应该走应用型道路，始终与社会需求保持对接。对于应用型高校，要改变以往主要根据学术水平为核心的评价体系，采用需求导向。只有当少数高校致力于创建世界一流，大多数高校安心于向应用型转变、建设高水平的应用型大学，我国高等教育的宏观结构才会趋于合理，高等教育的供给才能与经济社会发展的需求对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20"/>
        <w:textAlignment w:val="auto"/>
        <w:rPr>
          <w:rFonts w:ascii="宋体" w:hAnsi="宋体" w:cs="宋体"/>
          <w:color w:val="333333"/>
          <w:sz w:val="24"/>
          <w:szCs w:val="24"/>
          <w:shd w:val="clear" w:color="auto" w:fill="FFFFFF"/>
        </w:rPr>
      </w:pPr>
      <w:r>
        <w:rPr>
          <w:rFonts w:ascii="宋体" w:hAnsi="宋体" w:cs="宋体"/>
          <w:b/>
          <w:bCs/>
          <w:color w:val="333333"/>
          <w:sz w:val="24"/>
          <w:szCs w:val="24"/>
          <w:shd w:val="clear" w:color="auto" w:fill="FFFFFF"/>
        </w:rPr>
        <w:t>二是在中观层面形成应用型本科高校专业的敏捷调整机制。</w:t>
      </w:r>
      <w:r>
        <w:rPr>
          <w:rFonts w:ascii="宋体" w:hAnsi="宋体" w:cs="宋体"/>
          <w:color w:val="333333"/>
          <w:sz w:val="24"/>
          <w:szCs w:val="24"/>
          <w:shd w:val="clear" w:color="auto" w:fill="FFFFFF"/>
        </w:rPr>
        <w:t>除了高水平的研究型大学以外，绝大多数本科高校向应用型转变的首要任务是加快专业调整，改专业设置的学科导向为需求导向，这是高校层面高等教育供给侧结构性改革的重要内容。为满足应用型人才培养的要求，首先要把专业从实体化组织回归到课程的组合，要按照“学科为体、专业为用”的思路，把基层学术组织的设立逻辑从专业移到学科，由学科提供课程，用课程组合为专业。与此同时，要采用模块化技术改造课程体系。通过不同模块的快速组装，用较低的成本实现应用型人才培养的多品种、跨学科、敏捷化。推进部分本科高校向应用型转变，还需要一定的外部压力。目前正在推进的高校考试招生制度改革是一个很好的手段。</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20"/>
        <w:textAlignment w:val="auto"/>
        <w:rPr>
          <w:rFonts w:ascii="宋体" w:hAnsi="宋体" w:cs="宋体"/>
          <w:color w:val="333333"/>
          <w:sz w:val="24"/>
          <w:szCs w:val="24"/>
          <w:shd w:val="clear" w:color="auto" w:fill="FFFFFF"/>
        </w:rPr>
      </w:pPr>
      <w:r>
        <w:rPr>
          <w:rFonts w:ascii="宋体" w:hAnsi="宋体" w:cs="宋体"/>
          <w:b/>
          <w:bCs/>
          <w:color w:val="333333"/>
          <w:sz w:val="24"/>
          <w:szCs w:val="24"/>
          <w:shd w:val="clear" w:color="auto" w:fill="FFFFFF"/>
        </w:rPr>
        <w:t>三是在微观层面推进课程教学的改革与创新。</w:t>
      </w:r>
      <w:r>
        <w:rPr>
          <w:rFonts w:ascii="宋体" w:hAnsi="宋体" w:cs="宋体"/>
          <w:color w:val="333333"/>
          <w:sz w:val="24"/>
          <w:szCs w:val="24"/>
          <w:shd w:val="clear" w:color="auto" w:fill="FFFFFF"/>
        </w:rPr>
        <w:t>向应用型人才培养转变，提高教学质量，最终的落脚点是课程教学的改革，包括课程内容和教学方法的改革。课程改革的成功最终决定高等教育供给侧结构性改革的成功。推进应用型高校的课程教学改革，学校要针对当前存在的问题，学习吸收先进国家的经验，做好顶层设计，实施课程综合化。在课程综合化框架下解决课程教学中理论与实践分离的问题，在一门课程中实现课堂教学与现场教学紧密结合、理论与实践融会贯通。要避免实践类教学环节单独设课的做法，更不能把课堂教学简单理解为“理论教学”。产教融合也是课程改革的一个很好的抓手，在课程中引入相关产业的元素，部分内容由产业界人士承担，学生结合产业需求开展学习。</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right="0" w:rightChars="0" w:firstLine="210" w:firstLineChars="100"/>
        <w:textAlignment w:val="auto"/>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（作者：</w:t>
      </w:r>
      <w:r>
        <w:rPr>
          <w:rFonts w:ascii="宋体" w:hAnsi="宋体" w:cs="宋体"/>
          <w:color w:val="333333"/>
          <w:sz w:val="21"/>
          <w:szCs w:val="21"/>
          <w:shd w:val="clear" w:color="auto" w:fill="FFFFFF"/>
        </w:rPr>
        <w:t>叶飞帆，</w:t>
      </w:r>
      <w:r>
        <w:rPr>
          <w:rFonts w:hint="eastAsia" w:ascii="宋体" w:hAnsi="宋体" w:cs="宋体"/>
          <w:color w:val="333333"/>
          <w:sz w:val="21"/>
          <w:szCs w:val="21"/>
          <w:shd w:val="clear" w:color="auto" w:fill="FFFFFF"/>
        </w:rPr>
        <w:t>宁波大学工业工程系教授</w:t>
      </w:r>
      <w:r>
        <w:rPr>
          <w:rFonts w:hint="eastAsia" w:ascii="宋体" w:hAnsi="宋体" w:cs="宋体"/>
          <w:color w:val="333333"/>
          <w:sz w:val="21"/>
          <w:szCs w:val="21"/>
          <w:shd w:val="clear" w:color="auto" w:fill="FFFFFF"/>
          <w:lang w:eastAsia="zh-CN"/>
        </w:rPr>
        <w:t>。</w:t>
      </w:r>
      <w:r>
        <w:rPr>
          <w:rFonts w:hint="eastAsia" w:ascii="宋体" w:hAnsi="宋体" w:cs="宋体"/>
          <w:color w:val="333333"/>
          <w:sz w:val="21"/>
          <w:szCs w:val="21"/>
          <w:shd w:val="clear" w:color="auto" w:fill="FFFFFF"/>
        </w:rPr>
        <w:t>摘自</w:t>
      </w:r>
      <w:r>
        <w:rPr>
          <w:rFonts w:ascii="宋体" w:hAnsi="宋体" w:cs="宋体"/>
          <w:color w:val="333333"/>
          <w:sz w:val="21"/>
          <w:szCs w:val="21"/>
          <w:shd w:val="clear" w:color="auto" w:fill="FFFFFF"/>
        </w:rPr>
        <w:t>《</w:t>
      </w:r>
      <w:r>
        <w:rPr>
          <w:rFonts w:ascii="宋体" w:hAnsi="宋体" w:cs="宋体"/>
          <w:color w:val="333333"/>
          <w:sz w:val="21"/>
          <w:szCs w:val="21"/>
          <w:shd w:val="clear" w:color="auto" w:fill="FFFFFF"/>
        </w:rPr>
        <w:fldChar w:fldCharType="begin"/>
      </w:r>
      <w:r>
        <w:rPr>
          <w:rFonts w:ascii="宋体" w:hAnsi="宋体" w:cs="宋体"/>
          <w:color w:val="333333"/>
          <w:sz w:val="21"/>
          <w:szCs w:val="21"/>
          <w:shd w:val="clear" w:color="auto" w:fill="FFFFFF"/>
        </w:rPr>
        <w:instrText xml:space="preserve"> HYPERLINK "http://www.jyb.cn/zgjyb/201707/t20170710_701625.html" </w:instrText>
      </w:r>
      <w:r>
        <w:rPr>
          <w:rFonts w:ascii="宋体" w:hAnsi="宋体" w:cs="宋体"/>
          <w:color w:val="333333"/>
          <w:sz w:val="21"/>
          <w:szCs w:val="21"/>
          <w:shd w:val="clear" w:color="auto" w:fill="FFFFFF"/>
        </w:rPr>
        <w:fldChar w:fldCharType="separate"/>
      </w:r>
      <w:r>
        <w:rPr>
          <w:rStyle w:val="13"/>
          <w:rFonts w:ascii="宋体" w:hAnsi="宋体" w:cs="宋体"/>
          <w:color w:val="333333"/>
          <w:sz w:val="21"/>
          <w:szCs w:val="21"/>
          <w:shd w:val="clear" w:color="auto" w:fill="FFFFFF"/>
        </w:rPr>
        <w:t>中国教育报</w:t>
      </w:r>
      <w:r>
        <w:rPr>
          <w:rFonts w:ascii="宋体" w:hAnsi="宋体" w:cs="宋体"/>
          <w:color w:val="333333"/>
          <w:sz w:val="21"/>
          <w:szCs w:val="21"/>
          <w:shd w:val="clear" w:color="auto" w:fill="FFFFFF"/>
        </w:rPr>
        <w:fldChar w:fldCharType="end"/>
      </w:r>
      <w:r>
        <w:rPr>
          <w:rFonts w:ascii="宋体" w:hAnsi="宋体" w:cs="宋体"/>
          <w:color w:val="333333"/>
          <w:sz w:val="21"/>
          <w:szCs w:val="21"/>
          <w:shd w:val="clear" w:color="auto" w:fill="FFFFFF"/>
        </w:rPr>
        <w:t>》2017年07月10日</w:t>
      </w:r>
      <w:r>
        <w:rPr>
          <w:rFonts w:hint="eastAsia" w:ascii="宋体" w:hAnsi="宋体" w:cs="宋体"/>
          <w:color w:val="333333"/>
          <w:sz w:val="21"/>
          <w:szCs w:val="21"/>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right="0" w:rightChars="0" w:firstLine="210" w:firstLineChars="100"/>
        <w:textAlignment w:val="auto"/>
        <w:rPr>
          <w:rFonts w:ascii="宋体" w:hAnsi="宋体" w:eastAsia="宋体" w:cs="宋体"/>
          <w:sz w:val="21"/>
          <w:szCs w:val="21"/>
        </w:rPr>
      </w:pPr>
      <w:r>
        <w:rPr>
          <w:rFonts w:ascii="宋体" w:hAnsi="宋体" w:eastAsia="宋体" w:cs="宋体"/>
          <w:sz w:val="21"/>
          <w:szCs w:val="21"/>
        </w:rPr>
        <w:fldChar w:fldCharType="begin"/>
      </w:r>
      <w:r>
        <w:rPr>
          <w:rFonts w:ascii="宋体" w:hAnsi="宋体" w:eastAsia="宋体" w:cs="宋体"/>
          <w:sz w:val="21"/>
          <w:szCs w:val="21"/>
        </w:rPr>
        <w:instrText xml:space="preserve"> HYPERLINK "http://www.jyb.cn/zgjyb/201707/t20170710_701625.html" </w:instrText>
      </w:r>
      <w:r>
        <w:rPr>
          <w:rFonts w:ascii="宋体" w:hAnsi="宋体" w:eastAsia="宋体" w:cs="宋体"/>
          <w:sz w:val="21"/>
          <w:szCs w:val="21"/>
        </w:rPr>
        <w:fldChar w:fldCharType="separate"/>
      </w:r>
      <w:r>
        <w:rPr>
          <w:rStyle w:val="13"/>
          <w:rFonts w:ascii="宋体" w:hAnsi="宋体" w:eastAsia="宋体" w:cs="宋体"/>
          <w:sz w:val="21"/>
          <w:szCs w:val="21"/>
        </w:rPr>
        <w:t>http://www.jyb.cn/zgjyb/201707/t20170710_701625.html</w:t>
      </w:r>
      <w:r>
        <w:rPr>
          <w:rFonts w:ascii="宋体" w:hAnsi="宋体" w:eastAsia="宋体" w:cs="宋体"/>
          <w:sz w:val="21"/>
          <w:szCs w:val="21"/>
        </w:rPr>
        <w:fldChar w:fldCharType="end"/>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right="0" w:rightChars="0" w:firstLine="210" w:firstLineChars="100"/>
        <w:textAlignment w:val="auto"/>
        <w:rPr>
          <w:rFonts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10" w:name="_Toc31968"/>
      <w:bookmarkStart w:id="11" w:name="_Toc24015"/>
      <w:bookmarkStart w:id="12" w:name="_Toc492493762"/>
      <w:r>
        <w:rPr>
          <w:rFonts w:hint="eastAsia" w:asciiTheme="minorHAnsi" w:hAnsiTheme="minorHAnsi" w:eastAsiaTheme="minorEastAsia" w:cstheme="minorBidi"/>
          <w:b/>
          <w:bCs/>
          <w:kern w:val="2"/>
          <w:sz w:val="32"/>
          <w:szCs w:val="32"/>
          <w:lang w:val="en-US" w:eastAsia="zh-CN" w:bidi="ar-SA"/>
        </w:rPr>
        <w:t>提升农业院校思政教育实效</w:t>
      </w:r>
      <w:bookmarkEnd w:id="10"/>
      <w:bookmarkEnd w:id="11"/>
      <w:bookmarkEnd w:id="12"/>
    </w:p>
    <w:p>
      <w:pPr>
        <w:pStyle w:val="6"/>
        <w:widowControl/>
        <w:shd w:val="clear" w:color="auto" w:fill="FFFFFF"/>
        <w:spacing w:beforeAutospacing="0" w:afterAutospacing="0" w:line="480" w:lineRule="exact"/>
        <w:ind w:firstLine="420"/>
        <w:rPr>
          <w:rFonts w:ascii="宋体" w:hAnsi="宋体" w:cs="宋体"/>
          <w:color w:val="333333"/>
          <w:sz w:val="24"/>
          <w:szCs w:val="24"/>
        </w:rPr>
      </w:pPr>
      <w:r>
        <w:rPr>
          <w:rFonts w:hint="eastAsia" w:ascii="宋体" w:hAnsi="宋体" w:cs="宋体"/>
          <w:color w:val="333333"/>
          <w:sz w:val="24"/>
          <w:szCs w:val="24"/>
          <w:shd w:val="clear" w:color="auto" w:fill="FFFFFF"/>
        </w:rPr>
        <w:t>作为思想政治工作的重要一环，尤其是社会期望中处于相对冷门和弱势的农业院校而</w:t>
      </w:r>
      <w:r>
        <w:rPr>
          <w:rFonts w:hint="eastAsia" w:ascii="宋体" w:hAnsi="宋体" w:cs="宋体"/>
          <w:color w:val="333333"/>
          <w:sz w:val="24"/>
          <w:szCs w:val="24"/>
          <w:shd w:val="clear" w:color="auto" w:fill="FFFFFF"/>
          <w:lang w:eastAsia="zh-CN"/>
        </w:rPr>
        <w:t>言</w:t>
      </w:r>
      <w:r>
        <w:rPr>
          <w:rFonts w:hint="eastAsia" w:ascii="宋体" w:hAnsi="宋体" w:cs="宋体"/>
          <w:color w:val="333333"/>
          <w:sz w:val="24"/>
          <w:szCs w:val="24"/>
          <w:shd w:val="clear" w:color="auto" w:fill="FFFFFF"/>
        </w:rPr>
        <w:t>更要发挥好服务“三农”、振兴“三农”的桥头堡作用，善于把思政教育的具体内容细化为学农、知农、爱农、为农意识培养，并借助“三个课堂”使之贯穿于教育教学始终，与专业知识传授、实践能力锻炼融为一体，增强学生“三农”情感，为广大学生奔赴“三农”一线提供动力源泉。</w:t>
      </w:r>
    </w:p>
    <w:p>
      <w:pPr>
        <w:pStyle w:val="6"/>
        <w:widowControl/>
        <w:shd w:val="clear" w:color="auto" w:fill="FFFFFF"/>
        <w:spacing w:beforeAutospacing="0" w:afterAutospacing="0" w:line="480" w:lineRule="exact"/>
        <w:ind w:firstLine="482" w:firstLineChars="200"/>
        <w:rPr>
          <w:rFonts w:ascii="宋体" w:hAnsi="宋体" w:cs="宋体"/>
          <w:b/>
          <w:bCs/>
          <w:color w:val="333333"/>
          <w:sz w:val="24"/>
          <w:szCs w:val="24"/>
        </w:rPr>
      </w:pPr>
      <w:r>
        <w:rPr>
          <w:rStyle w:val="8"/>
          <w:rFonts w:hint="eastAsia" w:ascii="宋体" w:hAnsi="宋体" w:cs="宋体"/>
          <w:b/>
          <w:bCs/>
          <w:color w:val="333333"/>
          <w:sz w:val="24"/>
          <w:szCs w:val="24"/>
          <w:shd w:val="clear" w:color="auto" w:fill="FFFFFF"/>
        </w:rPr>
        <w:t>理论学习筑牢课堂主阵地</w:t>
      </w:r>
    </w:p>
    <w:p>
      <w:pPr>
        <w:pStyle w:val="6"/>
        <w:widowControl/>
        <w:shd w:val="clear" w:color="auto" w:fill="FFFFFF"/>
        <w:spacing w:beforeAutospacing="0" w:afterAutospacing="0" w:line="480" w:lineRule="exact"/>
        <w:ind w:firstLine="420"/>
        <w:rPr>
          <w:rFonts w:ascii="宋体" w:hAnsi="宋体" w:cs="宋体"/>
          <w:color w:val="333333"/>
          <w:sz w:val="24"/>
          <w:szCs w:val="24"/>
        </w:rPr>
      </w:pPr>
      <w:r>
        <w:rPr>
          <w:rFonts w:hint="eastAsia" w:ascii="宋体" w:hAnsi="宋体" w:cs="宋体"/>
          <w:color w:val="333333"/>
          <w:sz w:val="24"/>
          <w:szCs w:val="24"/>
          <w:shd w:val="clear" w:color="auto" w:fill="FFFFFF"/>
        </w:rPr>
        <w:t>大学生对理论或观点的认知不仅要听其是否科学合理，还要看其对现实的解释力和回应力。农业院校思政教育在强化基本理论认同时，要紧密结合形势政策，引导学生认识到在经济结构深刻调整、产业升级步伐加快和社会文化建设不断推进的国家发展新常态中，涉农领域也还具有广阔市场和发展前景</w:t>
      </w:r>
      <w:r>
        <w:rPr>
          <w:rFonts w:hint="eastAsia" w:ascii="宋体" w:hAnsi="宋体" w:cs="宋体"/>
          <w:color w:val="333333"/>
          <w:sz w:val="24"/>
          <w:szCs w:val="24"/>
          <w:shd w:val="clear" w:color="auto" w:fill="FFFFFF"/>
          <w:lang w:eastAsia="zh-CN"/>
        </w:rPr>
        <w:t>。同时，</w:t>
      </w:r>
      <w:r>
        <w:rPr>
          <w:rFonts w:hint="eastAsia" w:ascii="宋体" w:hAnsi="宋体" w:cs="宋体"/>
          <w:color w:val="333333"/>
          <w:sz w:val="24"/>
          <w:szCs w:val="24"/>
          <w:shd w:val="clear" w:color="auto" w:fill="FFFFFF"/>
        </w:rPr>
        <w:t>思政教育要善于同道德教育、法制教育及专业教育等紧密结合，从生态安全、食品安全等大问题入手，引导学生反思考试作弊、简历造假等小问题，从宏观微观、正反两面让学生意识到守信走遍天下、失信寸步难行，进而奠定学生的诚信根基。</w:t>
      </w:r>
      <w:r>
        <w:rPr>
          <w:rFonts w:hint="eastAsia" w:ascii="宋体" w:hAnsi="宋体" w:cs="宋体"/>
          <w:color w:val="333333"/>
          <w:sz w:val="24"/>
          <w:szCs w:val="24"/>
          <w:shd w:val="clear" w:color="auto" w:fill="FFFFFF"/>
          <w:lang w:eastAsia="zh-CN"/>
        </w:rPr>
        <w:t>此外，</w:t>
      </w:r>
      <w:r>
        <w:rPr>
          <w:rFonts w:hint="eastAsia" w:ascii="宋体" w:hAnsi="宋体" w:cs="宋体"/>
          <w:color w:val="333333"/>
          <w:sz w:val="24"/>
          <w:szCs w:val="24"/>
          <w:shd w:val="clear" w:color="auto" w:fill="FFFFFF"/>
        </w:rPr>
        <w:t>在思政教育实施中</w:t>
      </w:r>
      <w:r>
        <w:rPr>
          <w:rFonts w:hint="eastAsia" w:ascii="宋体" w:hAnsi="宋体" w:cs="宋体"/>
          <w:color w:val="333333"/>
          <w:sz w:val="24"/>
          <w:szCs w:val="24"/>
          <w:shd w:val="clear" w:color="auto" w:fill="FFFFFF"/>
          <w:lang w:eastAsia="zh-CN"/>
        </w:rPr>
        <w:t>还要</w:t>
      </w:r>
      <w:r>
        <w:rPr>
          <w:rFonts w:hint="eastAsia" w:ascii="宋体" w:hAnsi="宋体" w:cs="宋体"/>
          <w:color w:val="333333"/>
          <w:sz w:val="24"/>
          <w:szCs w:val="24"/>
          <w:shd w:val="clear" w:color="auto" w:fill="FFFFFF"/>
        </w:rPr>
        <w:t>注重积极心理干预，让大学生认识到“以农业作为职业方向注定会与辛劳为伍、与寂寞为伴”，要构筑强大的精神和心理防线，不轻言退缩，不轻易被击倒。</w:t>
      </w:r>
    </w:p>
    <w:p>
      <w:pPr>
        <w:pStyle w:val="6"/>
        <w:widowControl/>
        <w:shd w:val="clear" w:color="auto" w:fill="FFFFFF"/>
        <w:spacing w:beforeAutospacing="0" w:afterAutospacing="0" w:line="480" w:lineRule="exact"/>
        <w:ind w:firstLine="420"/>
        <w:rPr>
          <w:rFonts w:ascii="宋体" w:hAnsi="宋体" w:cs="宋体"/>
          <w:b/>
          <w:bCs/>
          <w:color w:val="333333"/>
          <w:sz w:val="24"/>
          <w:szCs w:val="24"/>
        </w:rPr>
      </w:pPr>
      <w:r>
        <w:rPr>
          <w:rStyle w:val="8"/>
          <w:rFonts w:hint="eastAsia" w:ascii="宋体" w:hAnsi="宋体" w:cs="宋体"/>
          <w:b/>
          <w:bCs/>
          <w:color w:val="333333"/>
          <w:sz w:val="24"/>
          <w:szCs w:val="24"/>
          <w:shd w:val="clear" w:color="auto" w:fill="FFFFFF"/>
        </w:rPr>
        <w:t>第二课堂强化主体实践</w:t>
      </w:r>
    </w:p>
    <w:p>
      <w:pPr>
        <w:pStyle w:val="6"/>
        <w:widowControl/>
        <w:shd w:val="clear" w:color="auto" w:fill="FFFFFF"/>
        <w:spacing w:beforeAutospacing="0" w:afterAutospacing="0" w:line="480" w:lineRule="exact"/>
        <w:ind w:firstLine="420"/>
        <w:rPr>
          <w:rFonts w:ascii="宋体" w:hAnsi="宋体" w:cs="宋体"/>
          <w:color w:val="333333"/>
          <w:sz w:val="24"/>
          <w:szCs w:val="24"/>
        </w:rPr>
      </w:pPr>
      <w:r>
        <w:rPr>
          <w:rFonts w:hint="eastAsia" w:ascii="宋体" w:hAnsi="宋体" w:cs="宋体"/>
          <w:color w:val="333333"/>
          <w:sz w:val="24"/>
          <w:szCs w:val="24"/>
          <w:shd w:val="clear" w:color="auto" w:fill="FFFFFF"/>
        </w:rPr>
        <w:t>理论只有运用和体现于实践中或为实践所印证，方可增强理论感召力。</w:t>
      </w:r>
      <w:r>
        <w:rPr>
          <w:rFonts w:hint="eastAsia" w:ascii="宋体" w:hAnsi="宋体" w:cs="宋体"/>
          <w:color w:val="333333"/>
          <w:sz w:val="24"/>
          <w:szCs w:val="24"/>
          <w:shd w:val="clear" w:color="auto" w:fill="FFFFFF"/>
          <w:lang w:eastAsia="zh-CN"/>
        </w:rPr>
        <w:t>对</w:t>
      </w:r>
      <w:r>
        <w:rPr>
          <w:rFonts w:hint="eastAsia" w:ascii="宋体" w:hAnsi="宋体" w:cs="宋体"/>
          <w:color w:val="333333"/>
          <w:sz w:val="24"/>
          <w:szCs w:val="24"/>
          <w:shd w:val="clear" w:color="auto" w:fill="FFFFFF"/>
        </w:rPr>
        <w:t>于农业院校学生而言，仅靠课堂是很难直接体悟农业技术的日新月异，也不会深刻理解“三农”发展面临的困境。农业学科实践性很强，黑板上种不出庄稼，实验室的理论并不一定能解决生产一线问题，因而迫切需要学用结合。巩固思政教育课堂主阵地，必须以第二课堂强化学生主体实践。</w:t>
      </w:r>
      <w:r>
        <w:rPr>
          <w:rFonts w:hint="eastAsia" w:ascii="宋体" w:hAnsi="宋体" w:cs="宋体"/>
          <w:color w:val="333333"/>
          <w:sz w:val="24"/>
          <w:szCs w:val="24"/>
          <w:shd w:val="clear" w:color="auto" w:fill="FFFFFF"/>
          <w:lang w:eastAsia="zh-CN"/>
        </w:rPr>
        <w:t>首先，</w:t>
      </w:r>
      <w:r>
        <w:rPr>
          <w:rFonts w:hint="eastAsia" w:ascii="宋体" w:hAnsi="宋体" w:cs="宋体"/>
          <w:color w:val="333333"/>
          <w:sz w:val="24"/>
          <w:szCs w:val="24"/>
          <w:shd w:val="clear" w:color="auto" w:fill="FFFFFF"/>
        </w:rPr>
        <w:t>思政教育要同专业教育相结合。依托校内、校企等资源建立实习实验基地，立足专业视角搭建思政教育平台。</w:t>
      </w:r>
      <w:r>
        <w:rPr>
          <w:rFonts w:hint="eastAsia" w:ascii="宋体" w:hAnsi="宋体" w:cs="宋体"/>
          <w:color w:val="333333"/>
          <w:sz w:val="24"/>
          <w:szCs w:val="24"/>
          <w:shd w:val="clear" w:color="auto" w:fill="FFFFFF"/>
          <w:lang w:eastAsia="zh-CN"/>
        </w:rPr>
        <w:t>其次</w:t>
      </w:r>
      <w:r>
        <w:rPr>
          <w:rFonts w:hint="eastAsia" w:ascii="宋体" w:hAnsi="宋体" w:cs="宋体"/>
          <w:color w:val="333333"/>
          <w:sz w:val="24"/>
          <w:szCs w:val="24"/>
          <w:shd w:val="clear" w:color="auto" w:fill="FFFFFF"/>
          <w:lang w:val="en-US" w:eastAsia="zh-CN"/>
        </w:rPr>
        <w:t>，</w:t>
      </w:r>
      <w:r>
        <w:rPr>
          <w:rFonts w:hint="eastAsia" w:ascii="宋体" w:hAnsi="宋体" w:cs="宋体"/>
          <w:color w:val="333333"/>
          <w:sz w:val="24"/>
          <w:szCs w:val="24"/>
          <w:shd w:val="clear" w:color="auto" w:fill="FFFFFF"/>
        </w:rPr>
        <w:t>思政教育要同党团活动相结合。依托农业院校专业特色优势，发挥党团组织引领作用</w:t>
      </w:r>
      <w:r>
        <w:rPr>
          <w:rFonts w:hint="eastAsia" w:ascii="宋体" w:hAnsi="宋体" w:cs="宋体"/>
          <w:color w:val="333333"/>
          <w:sz w:val="24"/>
          <w:szCs w:val="24"/>
          <w:shd w:val="clear" w:color="auto" w:fill="FFFFFF"/>
          <w:lang w:eastAsia="zh-CN"/>
        </w:rPr>
        <w:t>。同时，</w:t>
      </w:r>
      <w:r>
        <w:rPr>
          <w:rFonts w:hint="eastAsia" w:ascii="宋体" w:hAnsi="宋体" w:cs="宋体"/>
          <w:color w:val="333333"/>
          <w:sz w:val="24"/>
          <w:szCs w:val="24"/>
          <w:shd w:val="clear" w:color="auto" w:fill="FFFFFF"/>
        </w:rPr>
        <w:t>思政教育</w:t>
      </w:r>
      <w:r>
        <w:rPr>
          <w:rFonts w:hint="eastAsia" w:ascii="宋体" w:hAnsi="宋体" w:cs="宋体"/>
          <w:color w:val="333333"/>
          <w:sz w:val="24"/>
          <w:szCs w:val="24"/>
          <w:shd w:val="clear" w:color="auto" w:fill="FFFFFF"/>
          <w:lang w:eastAsia="zh-CN"/>
        </w:rPr>
        <w:t>还</w:t>
      </w:r>
      <w:r>
        <w:rPr>
          <w:rFonts w:hint="eastAsia" w:ascii="宋体" w:hAnsi="宋体" w:cs="宋体"/>
          <w:color w:val="333333"/>
          <w:sz w:val="24"/>
          <w:szCs w:val="24"/>
          <w:shd w:val="clear" w:color="auto" w:fill="FFFFFF"/>
        </w:rPr>
        <w:t>要同志愿服务相结合</w:t>
      </w:r>
      <w:r>
        <w:rPr>
          <w:rFonts w:hint="eastAsia" w:ascii="宋体" w:hAnsi="宋体" w:cs="宋体"/>
          <w:color w:val="333333"/>
          <w:sz w:val="24"/>
          <w:szCs w:val="24"/>
          <w:shd w:val="clear" w:color="auto" w:fill="FFFFFF"/>
          <w:lang w:eastAsia="zh-CN"/>
        </w:rPr>
        <w:t>，</w:t>
      </w:r>
      <w:r>
        <w:rPr>
          <w:rFonts w:hint="eastAsia" w:ascii="宋体" w:hAnsi="宋体" w:cs="宋体"/>
          <w:color w:val="333333"/>
          <w:sz w:val="24"/>
          <w:szCs w:val="24"/>
          <w:shd w:val="clear" w:color="auto" w:fill="FFFFFF"/>
        </w:rPr>
        <w:t>通过开展技术下乡、农技扶贫等志愿活动使学生多一份社会责任感、团结友爱等优良品德，其价值取向也可在不断自我反思、自我定位中得以完善。</w:t>
      </w:r>
      <w:r>
        <w:rPr>
          <w:rFonts w:hint="eastAsia" w:ascii="宋体" w:hAnsi="宋体" w:cs="宋体"/>
          <w:color w:val="333333"/>
          <w:sz w:val="24"/>
          <w:szCs w:val="24"/>
          <w:shd w:val="clear" w:color="auto" w:fill="FFFFFF"/>
          <w:lang w:eastAsia="zh-CN"/>
        </w:rPr>
        <w:t>最后，</w:t>
      </w:r>
      <w:r>
        <w:rPr>
          <w:rFonts w:hint="eastAsia" w:ascii="宋体" w:hAnsi="宋体" w:cs="宋体"/>
          <w:color w:val="333333"/>
          <w:sz w:val="24"/>
          <w:szCs w:val="24"/>
          <w:shd w:val="clear" w:color="auto" w:fill="FFFFFF"/>
        </w:rPr>
        <w:t>思政教育要同社团建设相结合</w:t>
      </w:r>
      <w:r>
        <w:rPr>
          <w:rFonts w:hint="eastAsia" w:ascii="宋体" w:hAnsi="宋体" w:cs="宋体"/>
          <w:color w:val="333333"/>
          <w:sz w:val="24"/>
          <w:szCs w:val="24"/>
          <w:shd w:val="clear" w:color="auto" w:fill="FFFFFF"/>
          <w:lang w:eastAsia="zh-CN"/>
        </w:rPr>
        <w:t>，提高和锻炼</w:t>
      </w:r>
      <w:r>
        <w:rPr>
          <w:rFonts w:hint="eastAsia" w:ascii="宋体" w:hAnsi="宋体" w:cs="宋体"/>
          <w:color w:val="333333"/>
          <w:sz w:val="24"/>
          <w:szCs w:val="24"/>
          <w:shd w:val="clear" w:color="auto" w:fill="FFFFFF"/>
        </w:rPr>
        <w:t>大学生</w:t>
      </w:r>
      <w:r>
        <w:rPr>
          <w:rFonts w:hint="eastAsia" w:ascii="宋体" w:hAnsi="宋体" w:cs="宋体"/>
          <w:color w:val="333333"/>
          <w:sz w:val="24"/>
          <w:szCs w:val="24"/>
          <w:shd w:val="clear" w:color="auto" w:fill="FFFFFF"/>
          <w:lang w:eastAsia="zh-CN"/>
        </w:rPr>
        <w:t>的</w:t>
      </w:r>
      <w:r>
        <w:rPr>
          <w:rFonts w:hint="eastAsia" w:ascii="宋体" w:hAnsi="宋体" w:cs="宋体"/>
          <w:color w:val="333333"/>
          <w:sz w:val="24"/>
          <w:szCs w:val="24"/>
          <w:shd w:val="clear" w:color="auto" w:fill="FFFFFF"/>
        </w:rPr>
        <w:t>人际交往能力、团队意识和责任意识，升华个体道德行为。</w:t>
      </w:r>
    </w:p>
    <w:p>
      <w:pPr>
        <w:pStyle w:val="6"/>
        <w:widowControl/>
        <w:shd w:val="clear" w:color="auto" w:fill="FFFFFF"/>
        <w:spacing w:beforeAutospacing="0" w:afterAutospacing="0" w:line="480" w:lineRule="exact"/>
        <w:ind w:firstLine="420"/>
        <w:rPr>
          <w:rFonts w:ascii="宋体" w:hAnsi="宋体" w:cs="宋体"/>
          <w:b/>
          <w:bCs/>
          <w:color w:val="333333"/>
          <w:sz w:val="24"/>
          <w:szCs w:val="24"/>
        </w:rPr>
      </w:pPr>
      <w:r>
        <w:rPr>
          <w:rStyle w:val="8"/>
          <w:rFonts w:hint="eastAsia" w:ascii="宋体" w:hAnsi="宋体" w:cs="宋体"/>
          <w:b/>
          <w:bCs/>
          <w:color w:val="333333"/>
          <w:sz w:val="24"/>
          <w:szCs w:val="24"/>
          <w:shd w:val="clear" w:color="auto" w:fill="FFFFFF"/>
        </w:rPr>
        <w:t>校园文化构建隐性课堂</w:t>
      </w:r>
    </w:p>
    <w:p>
      <w:pPr>
        <w:pStyle w:val="6"/>
        <w:widowControl/>
        <w:shd w:val="clear" w:color="auto" w:fill="FFFFFF"/>
        <w:spacing w:beforeAutospacing="0" w:afterAutospacing="0" w:line="480" w:lineRule="exact"/>
        <w:ind w:firstLine="420"/>
        <w:rPr>
          <w:rFonts w:ascii="宋体" w:hAnsi="宋体" w:cs="宋体"/>
          <w:color w:val="333333"/>
          <w:sz w:val="24"/>
          <w:szCs w:val="24"/>
        </w:rPr>
      </w:pPr>
      <w:r>
        <w:rPr>
          <w:rFonts w:hint="eastAsia" w:ascii="宋体" w:hAnsi="宋体" w:cs="宋体"/>
          <w:color w:val="333333"/>
          <w:sz w:val="24"/>
          <w:szCs w:val="24"/>
          <w:shd w:val="clear" w:color="auto" w:fill="FFFFFF"/>
        </w:rPr>
        <w:t>相对于第一、第二课堂，校园文化是种隐性教育，是大学的灵魂和旗帜,是开展德育工作的重要载体。其既包括校风学风等需要历史沉淀、真实存在却又无法触摸的事物，也包括文化设施、文化标识等实体事物；既包括雕塑、场馆等静态事物，也涵盖各种文化活动等动态事物。学校以农业院校特色品牌活动为亮点，弘扬体现社会主义核心价值观要求、富有学校特色的校风、校训和大学精神，使之体现以农为本、唯实求新的办学理念，体现艰苦奋斗、勤于实践等优良传统，使之成为广大师生内化于心、外化于行的行为示范和价值取向。同时，完善和规范升国旗仪式、开学典礼等礼仪活动，建设特色鲜明、富有内涵、品位高雅的校园典仪文化。</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right="0" w:rightChars="0" w:firstLine="210" w:firstLineChars="100"/>
        <w:jc w:val="left"/>
        <w:textAlignment w:val="auto"/>
        <w:outlineLvl w:val="9"/>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（作者：马俊云，北京农学院马克思主义学院书记。摘自《</w:t>
      </w:r>
      <w:r>
        <w:rPr>
          <w:rFonts w:hint="eastAsia" w:ascii="宋体" w:hAnsi="宋体" w:cs="宋体"/>
          <w:color w:val="333333"/>
          <w:sz w:val="21"/>
          <w:szCs w:val="21"/>
          <w:shd w:val="clear" w:color="auto" w:fill="FFFFFF"/>
        </w:rPr>
        <w:fldChar w:fldCharType="begin"/>
      </w:r>
      <w:r>
        <w:rPr>
          <w:rFonts w:hint="eastAsia" w:ascii="宋体" w:hAnsi="宋体" w:cs="宋体"/>
          <w:color w:val="333333"/>
          <w:sz w:val="21"/>
          <w:szCs w:val="21"/>
          <w:shd w:val="clear" w:color="auto" w:fill="FFFFFF"/>
        </w:rPr>
        <w:instrText xml:space="preserve"> HYPERLINK "http://www.jyb.cn/zgjyb/201707/t20170731_723564.html" </w:instrText>
      </w:r>
      <w:r>
        <w:rPr>
          <w:rFonts w:hint="eastAsia" w:ascii="宋体" w:hAnsi="宋体" w:cs="宋体"/>
          <w:color w:val="333333"/>
          <w:sz w:val="21"/>
          <w:szCs w:val="21"/>
          <w:shd w:val="clear" w:color="auto" w:fill="FFFFFF"/>
        </w:rPr>
        <w:fldChar w:fldCharType="separate"/>
      </w:r>
      <w:r>
        <w:rPr>
          <w:rStyle w:val="13"/>
          <w:rFonts w:hint="eastAsia" w:ascii="宋体" w:hAnsi="宋体" w:cs="宋体"/>
          <w:color w:val="333333"/>
          <w:sz w:val="21"/>
          <w:szCs w:val="21"/>
          <w:shd w:val="clear" w:color="auto" w:fill="FFFFFF"/>
        </w:rPr>
        <w:t>中国教育报</w:t>
      </w:r>
      <w:r>
        <w:rPr>
          <w:rFonts w:hint="eastAsia" w:ascii="宋体" w:hAnsi="宋体" w:cs="宋体"/>
          <w:color w:val="333333"/>
          <w:sz w:val="21"/>
          <w:szCs w:val="21"/>
          <w:shd w:val="clear" w:color="auto" w:fill="FFFFFF"/>
        </w:rPr>
        <w:fldChar w:fldCharType="end"/>
      </w:r>
      <w:r>
        <w:rPr>
          <w:rFonts w:hint="eastAsia" w:ascii="宋体" w:hAnsi="宋体" w:cs="宋体"/>
          <w:color w:val="333333"/>
          <w:sz w:val="21"/>
          <w:szCs w:val="21"/>
          <w:shd w:val="clear" w:color="auto" w:fill="FFFFFF"/>
        </w:rPr>
        <w:t>》，2017年07月31日）</w:t>
      </w:r>
      <w:r>
        <w:rPr>
          <w:rFonts w:ascii="宋体" w:hAnsi="宋体" w:eastAsia="宋体" w:cs="宋体"/>
          <w:sz w:val="21"/>
          <w:szCs w:val="21"/>
        </w:rPr>
        <w:fldChar w:fldCharType="begin"/>
      </w:r>
      <w:r>
        <w:rPr>
          <w:rFonts w:ascii="宋体" w:hAnsi="宋体" w:eastAsia="宋体" w:cs="宋体"/>
          <w:sz w:val="21"/>
          <w:szCs w:val="21"/>
        </w:rPr>
        <w:instrText xml:space="preserve"> HYPERLINK "http://www.jyb.cn/zgjyb/201707/t20170731_723564.html" </w:instrText>
      </w:r>
      <w:r>
        <w:rPr>
          <w:rFonts w:ascii="宋体" w:hAnsi="宋体" w:eastAsia="宋体" w:cs="宋体"/>
          <w:sz w:val="21"/>
          <w:szCs w:val="21"/>
        </w:rPr>
        <w:fldChar w:fldCharType="separate"/>
      </w:r>
      <w:r>
        <w:rPr>
          <w:rStyle w:val="13"/>
          <w:rFonts w:ascii="宋体" w:hAnsi="宋体" w:eastAsia="宋体" w:cs="宋体"/>
          <w:sz w:val="21"/>
          <w:szCs w:val="21"/>
        </w:rPr>
        <w:t>http://www.jyb.cn/zgjyb/201707/t20170731_723564.html</w:t>
      </w:r>
      <w:r>
        <w:rPr>
          <w:rFonts w:ascii="宋体" w:hAnsi="宋体" w:eastAsia="宋体" w:cs="宋体"/>
          <w:sz w:val="21"/>
          <w:szCs w:val="21"/>
        </w:rPr>
        <w:fldChar w:fldCharType="end"/>
      </w:r>
    </w:p>
    <w:p>
      <w:pPr>
        <w:pStyle w:val="6"/>
        <w:widowControl/>
        <w:shd w:val="clear" w:color="auto" w:fill="FFFFFF"/>
        <w:spacing w:beforeAutospacing="0" w:afterLines="200" w:afterAutospacing="0" w:line="480" w:lineRule="exact"/>
        <w:ind w:firstLine="420"/>
        <w:rPr>
          <w:rFonts w:hint="eastAsia" w:ascii="宋体" w:hAnsi="宋体" w:cs="宋体"/>
          <w:color w:val="333333"/>
          <w:sz w:val="21"/>
          <w:szCs w:val="21"/>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right="0" w:rightChars="0" w:firstLine="210" w:firstLineChars="100"/>
        <w:textAlignment w:val="auto"/>
        <w:rPr>
          <w:rFonts w:ascii="宋体" w:hAnsi="宋体" w:eastAsia="宋体" w:cs="宋体"/>
          <w:sz w:val="21"/>
          <w:szCs w:val="21"/>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right="0" w:rightChars="0" w:firstLine="210" w:firstLineChars="100"/>
        <w:textAlignment w:val="auto"/>
        <w:rPr>
          <w:rFonts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r>
        <w:rPr>
          <w:rFonts w:hint="eastAsia"/>
          <w:b/>
          <w:bCs/>
          <w:sz w:val="36"/>
          <w:szCs w:val="36"/>
          <w:lang w:val="en-US" w:eastAsia="zh-CN"/>
        </w:rPr>
        <w:t>【海外来风】</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13" w:name="_Toc2585"/>
      <w:r>
        <w:rPr>
          <w:rFonts w:hint="eastAsia" w:asciiTheme="minorHAnsi" w:hAnsiTheme="minorHAnsi" w:eastAsiaTheme="minorEastAsia" w:cstheme="minorBidi"/>
          <w:b/>
          <w:bCs/>
          <w:kern w:val="2"/>
          <w:sz w:val="32"/>
          <w:szCs w:val="32"/>
          <w:lang w:val="en-US" w:eastAsia="zh-CN" w:bidi="ar-SA"/>
        </w:rPr>
        <w:t>中俄高等教育合作开启崭新篇章</w:t>
      </w:r>
      <w:bookmarkEnd w:id="1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9月13日，深圳北理莫斯科大学开学典礼上，在中国国务院副总理刘延东、俄罗斯副总理戈洛杰茨的共同见证下，北京理工大学和莫斯科大学实现了跨越近6000公里的历史性“握手”，由此揭开了中俄高等教育合作的崭新篇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left"/>
        <w:textAlignment w:val="auto"/>
        <w:outlineLvl w:val="9"/>
        <w:rPr>
          <w:rFonts w:hint="default" w:ascii="宋体" w:hAnsi="宋体" w:eastAsia="宋体" w:cs="宋体"/>
          <w:b w:val="0"/>
          <w:i w:val="0"/>
          <w:caps w:val="0"/>
          <w:color w:val="000000"/>
          <w:spacing w:val="0"/>
          <w:kern w:val="2"/>
          <w:sz w:val="24"/>
          <w:szCs w:val="24"/>
          <w:lang w:val="en-US" w:eastAsia="zh-CN" w:bidi="ar-SA"/>
        </w:rPr>
      </w:pPr>
      <w:r>
        <w:rPr>
          <w:rFonts w:hint="default" w:ascii="宋体" w:hAnsi="宋体" w:eastAsia="宋体" w:cs="宋体"/>
          <w:b w:val="0"/>
          <w:i w:val="0"/>
          <w:caps w:val="0"/>
          <w:color w:val="000000"/>
          <w:spacing w:val="0"/>
          <w:kern w:val="2"/>
          <w:sz w:val="24"/>
          <w:szCs w:val="24"/>
          <w:lang w:val="en-US" w:eastAsia="zh-CN" w:bidi="ar-SA"/>
        </w:rPr>
        <w:t>深圳北理莫斯科大学是由深圳市人民政府和莫斯科国立罗蒙诺索夫大学（以下简称莫斯科大学）、北京理工大学三方在深圳合作举办的一所具有法人资格的非营利高等教育机构。这所学校的兴办，承载着宏大的国家战略，也着眼于长远的城市发展。立意新、起点高、目标远，在教育国际化的时代浪潮下，深圳北理莫斯科大学已正式扬帆起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中外合作办学重在优势互补，各取所长。始建于1755年、诞生过十几名诺贝尔奖获得者的莫斯科大学与首批进入国家“211工程”和“985工程”的国内一流理工大学北京理工大学，在深圳这座年轻城市的牵手之初，便被赋予深化中俄两国战略合作关系、促进两国人文交流、为“一带一路”建设提供人才保障的使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从一纸蓝图到如今的巍巍校园，深圳北理莫斯科大学的创办，见证了中俄两国战略合作关系、教育交流合作的不断深入，也寄托着建设世界一流大学的“深圳渴望”。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210" w:firstLineChars="10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2"/>
          <w:sz w:val="21"/>
          <w:szCs w:val="21"/>
          <w:lang w:val="en-US" w:eastAsia="zh-CN" w:bidi="ar-SA"/>
        </w:rPr>
        <w:t>（摘自</w:t>
      </w:r>
      <w:r>
        <w:rPr>
          <w:rFonts w:hint="eastAsia" w:ascii="宋体" w:hAnsi="宋体" w:eastAsia="宋体" w:cs="宋体"/>
          <w:b w:val="0"/>
          <w:i w:val="0"/>
          <w:caps w:val="0"/>
          <w:color w:val="000000"/>
          <w:spacing w:val="0"/>
          <w:kern w:val="2"/>
          <w:sz w:val="21"/>
          <w:szCs w:val="21"/>
          <w:lang w:val="en-US" w:eastAsia="zh-CN" w:bidi="ar-SA"/>
        </w:rPr>
        <w:fldChar w:fldCharType="begin"/>
      </w:r>
      <w:r>
        <w:rPr>
          <w:rFonts w:hint="eastAsia" w:ascii="宋体" w:hAnsi="宋体" w:eastAsia="宋体" w:cs="宋体"/>
          <w:b w:val="0"/>
          <w:i w:val="0"/>
          <w:caps w:val="0"/>
          <w:color w:val="000000"/>
          <w:spacing w:val="0"/>
          <w:kern w:val="2"/>
          <w:sz w:val="21"/>
          <w:szCs w:val="21"/>
          <w:lang w:val="en-US" w:eastAsia="zh-CN" w:bidi="ar-SA"/>
        </w:rPr>
        <w:instrText xml:space="preserve"> HYPERLINK "http://www.jyb.cn/zgjyb/201709/t20170914_768051.html" </w:instrText>
      </w:r>
      <w:r>
        <w:rPr>
          <w:rFonts w:hint="eastAsia" w:ascii="宋体" w:hAnsi="宋体" w:eastAsia="宋体" w:cs="宋体"/>
          <w:b w:val="0"/>
          <w:i w:val="0"/>
          <w:caps w:val="0"/>
          <w:color w:val="000000"/>
          <w:spacing w:val="0"/>
          <w:kern w:val="2"/>
          <w:sz w:val="21"/>
          <w:szCs w:val="21"/>
          <w:lang w:val="en-US" w:eastAsia="zh-CN" w:bidi="ar-SA"/>
        </w:rPr>
        <w:fldChar w:fldCharType="separate"/>
      </w:r>
      <w:r>
        <w:rPr>
          <w:rStyle w:val="13"/>
          <w:rFonts w:hint="eastAsia" w:ascii="宋体" w:hAnsi="宋体" w:eastAsia="宋体" w:cs="宋体"/>
          <w:b w:val="0"/>
          <w:i w:val="0"/>
          <w:caps w:val="0"/>
          <w:color w:val="000000"/>
          <w:spacing w:val="0"/>
          <w:kern w:val="2"/>
          <w:sz w:val="21"/>
          <w:szCs w:val="21"/>
          <w:lang w:val="en-US" w:eastAsia="zh-CN" w:bidi="ar-SA"/>
        </w:rPr>
        <w:t>中国教育报</w:t>
      </w:r>
      <w:r>
        <w:rPr>
          <w:rFonts w:hint="eastAsia" w:ascii="宋体" w:hAnsi="宋体" w:eastAsia="宋体" w:cs="宋体"/>
          <w:b w:val="0"/>
          <w:i w:val="0"/>
          <w:caps w:val="0"/>
          <w:color w:val="000000"/>
          <w:spacing w:val="0"/>
          <w:kern w:val="2"/>
          <w:sz w:val="21"/>
          <w:szCs w:val="21"/>
          <w:lang w:val="en-US" w:eastAsia="zh-CN" w:bidi="ar-SA"/>
        </w:rPr>
        <w:fldChar w:fldCharType="end"/>
      </w:r>
      <w:r>
        <w:rPr>
          <w:rFonts w:hint="eastAsia" w:ascii="宋体" w:hAnsi="宋体" w:eastAsia="宋体" w:cs="宋体"/>
          <w:b w:val="0"/>
          <w:i w:val="0"/>
          <w:caps w:val="0"/>
          <w:color w:val="000000"/>
          <w:spacing w:val="0"/>
          <w:kern w:val="2"/>
          <w:sz w:val="21"/>
          <w:szCs w:val="21"/>
          <w:lang w:val="en-US" w:eastAsia="zh-CN" w:bidi="ar-SA"/>
        </w:rPr>
        <w:t>，2017年09年14日）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210" w:firstLineChars="10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r>
        <w:rPr>
          <w:rFonts w:ascii="宋体" w:hAnsi="宋体" w:eastAsia="宋体" w:cs="宋体"/>
          <w:sz w:val="21"/>
          <w:szCs w:val="21"/>
        </w:rPr>
        <w:fldChar w:fldCharType="begin"/>
      </w:r>
      <w:r>
        <w:rPr>
          <w:rFonts w:ascii="宋体" w:hAnsi="宋体" w:eastAsia="宋体" w:cs="宋体"/>
          <w:sz w:val="21"/>
          <w:szCs w:val="21"/>
        </w:rPr>
        <w:instrText xml:space="preserve"> HYPERLINK "http://www.jyb.cn/zgjyb/201709/t20170914_768051.html" </w:instrText>
      </w:r>
      <w:r>
        <w:rPr>
          <w:rFonts w:ascii="宋体" w:hAnsi="宋体" w:eastAsia="宋体" w:cs="宋体"/>
          <w:sz w:val="21"/>
          <w:szCs w:val="21"/>
        </w:rPr>
        <w:fldChar w:fldCharType="separate"/>
      </w:r>
      <w:r>
        <w:rPr>
          <w:rStyle w:val="13"/>
          <w:rFonts w:ascii="宋体" w:hAnsi="宋体" w:eastAsia="宋体" w:cs="宋体"/>
          <w:sz w:val="21"/>
          <w:szCs w:val="21"/>
        </w:rPr>
        <w:t>http://www.jyb.cn/zgjyb/201709/t20170914_768051.html</w:t>
      </w:r>
      <w:r>
        <w:rPr>
          <w:rFonts w:ascii="宋体" w:hAnsi="宋体" w:eastAsia="宋体" w:cs="宋体"/>
          <w:sz w:val="21"/>
          <w:szCs w:val="21"/>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right="45" w:firstLine="480" w:firstLineChars="200"/>
        <w:textAlignment w:val="auto"/>
        <w:rPr>
          <w:rFonts w:hint="eastAsia" w:asciiTheme="majorEastAsia" w:hAnsiTheme="majorEastAsia" w:eastAsiaTheme="majorEastAsia" w:cstheme="majorEastAsia"/>
          <w:b w:val="0"/>
          <w:bCs w:val="0"/>
          <w:color w:val="4B4B4B"/>
          <w:kern w:val="2"/>
          <w:sz w:val="24"/>
          <w:szCs w:val="2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0"/>
        <w:rPr>
          <w:rFonts w:hint="eastAsia" w:asciiTheme="minorHAnsi" w:hAnsiTheme="minorHAnsi" w:eastAsiaTheme="minorEastAsia" w:cstheme="minorBidi"/>
          <w:b/>
          <w:bCs/>
          <w:kern w:val="2"/>
          <w:sz w:val="32"/>
          <w:szCs w:val="32"/>
          <w:lang w:val="en-US" w:eastAsia="zh-CN" w:bidi="ar-SA"/>
        </w:rPr>
      </w:pPr>
      <w:bookmarkStart w:id="14" w:name="_Toc3060"/>
      <w:r>
        <w:rPr>
          <w:rFonts w:hint="eastAsia" w:asciiTheme="minorHAnsi" w:hAnsiTheme="minorHAnsi" w:eastAsiaTheme="minorEastAsia" w:cstheme="minorBidi"/>
          <w:b/>
          <w:bCs/>
          <w:kern w:val="2"/>
          <w:sz w:val="32"/>
          <w:szCs w:val="32"/>
          <w:lang w:val="en-US" w:eastAsia="zh-CN" w:bidi="ar-SA"/>
        </w:rPr>
        <w:t>新西兰调整高等教育模式对劳动力市场变化</w:t>
      </w:r>
      <w:bookmarkEnd w:id="1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新西兰教育部网站消息，新西兰生产力委员会此前发布报告《高等教育新模式》，对新西兰高等教育部门进行了深入评估。报告指出，在人口、劳动力市场迅速变化及科技进步日新月异的情况下，政府应确保高等教育更加有效。近日，新西兰政府对此报告正式回应，并部署了高等教育工作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报告指出，政府应该从一些方面促进高等教育发展。例如，为方便学生更好地决定接受什么样的教育，以及为学生就业流动提供正确信息；提供适应新变化、灵活和富有支持性的教学来满足行业需求，支持教育机构提供高质量的教育，使毕业生具备找到和维持可持续就业所需的技能；提高整个高等教育系统的表现，确保政府政策支持提供者和政府机构迅速而有效地适应学生、雇主、行业和社会的需求；扶持和鼓励创新，确保高等教育系统接纳创新的想法、模式、机构和人才并付诸实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新西兰政府表示，将与高等教育机构、雇主、学生和其他机构加强合作，以推进这项计划。相关工作也将很快开展，其中包括将于2018年制定新的高等教育战略。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20" w:firstLineChars="20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r>
        <w:rPr>
          <w:rFonts w:hint="eastAsia" w:ascii="宋体" w:hAnsi="宋体" w:eastAsia="宋体" w:cs="宋体"/>
          <w:b w:val="0"/>
          <w:i w:val="0"/>
          <w:caps w:val="0"/>
          <w:color w:val="000000"/>
          <w:spacing w:val="0"/>
          <w:kern w:val="2"/>
          <w:sz w:val="21"/>
          <w:szCs w:val="21"/>
          <w:lang w:val="en-US" w:eastAsia="zh-CN" w:bidi="ar-SA"/>
        </w:rPr>
        <w:t>（来源：</w:t>
      </w:r>
      <w:r>
        <w:rPr>
          <w:rFonts w:hint="eastAsia" w:ascii="宋体" w:hAnsi="宋体" w:eastAsia="宋体" w:cs="宋体"/>
          <w:b w:val="0"/>
          <w:i w:val="0"/>
          <w:caps w:val="0"/>
          <w:color w:val="000000"/>
          <w:spacing w:val="0"/>
          <w:kern w:val="2"/>
          <w:sz w:val="21"/>
          <w:szCs w:val="21"/>
          <w:lang w:val="en-US" w:eastAsia="zh-CN" w:bidi="ar-SA"/>
        </w:rPr>
        <w:fldChar w:fldCharType="begin"/>
      </w:r>
      <w:r>
        <w:rPr>
          <w:rFonts w:hint="eastAsia" w:ascii="宋体" w:hAnsi="宋体" w:eastAsia="宋体" w:cs="宋体"/>
          <w:b w:val="0"/>
          <w:i w:val="0"/>
          <w:caps w:val="0"/>
          <w:color w:val="000000"/>
          <w:spacing w:val="0"/>
          <w:kern w:val="2"/>
          <w:sz w:val="21"/>
          <w:szCs w:val="21"/>
          <w:lang w:val="en-US" w:eastAsia="zh-CN" w:bidi="ar-SA"/>
        </w:rPr>
        <w:instrText xml:space="preserve"> HYPERLINK "http://www.jyb.cn/zgjyb/201709/t20170901_755904.html" </w:instrText>
      </w:r>
      <w:r>
        <w:rPr>
          <w:rFonts w:hint="eastAsia" w:ascii="宋体" w:hAnsi="宋体" w:eastAsia="宋体" w:cs="宋体"/>
          <w:b w:val="0"/>
          <w:i w:val="0"/>
          <w:caps w:val="0"/>
          <w:color w:val="000000"/>
          <w:spacing w:val="0"/>
          <w:kern w:val="2"/>
          <w:sz w:val="21"/>
          <w:szCs w:val="21"/>
          <w:lang w:val="en-US" w:eastAsia="zh-CN" w:bidi="ar-SA"/>
        </w:rPr>
        <w:fldChar w:fldCharType="separate"/>
      </w:r>
      <w:r>
        <w:rPr>
          <w:rStyle w:val="13"/>
          <w:rFonts w:hint="eastAsia" w:ascii="宋体" w:hAnsi="宋体" w:eastAsia="宋体" w:cs="宋体"/>
          <w:b w:val="0"/>
          <w:i w:val="0"/>
          <w:caps w:val="0"/>
          <w:color w:val="000000"/>
          <w:spacing w:val="0"/>
          <w:kern w:val="2"/>
          <w:sz w:val="21"/>
          <w:szCs w:val="21"/>
          <w:lang w:val="en-US" w:eastAsia="zh-CN" w:bidi="ar-SA"/>
        </w:rPr>
        <w:t>中国教育报</w:t>
      </w:r>
      <w:r>
        <w:rPr>
          <w:rFonts w:hint="eastAsia" w:ascii="宋体" w:hAnsi="宋体" w:eastAsia="宋体" w:cs="宋体"/>
          <w:b w:val="0"/>
          <w:i w:val="0"/>
          <w:caps w:val="0"/>
          <w:color w:val="000000"/>
          <w:spacing w:val="0"/>
          <w:kern w:val="2"/>
          <w:sz w:val="21"/>
          <w:szCs w:val="21"/>
          <w:lang w:val="en-US" w:eastAsia="zh-CN" w:bidi="ar-SA"/>
        </w:rPr>
        <w:fldChar w:fldCharType="end"/>
      </w:r>
      <w:r>
        <w:rPr>
          <w:rFonts w:hint="eastAsia" w:ascii="宋体" w:hAnsi="宋体" w:eastAsia="宋体" w:cs="宋体"/>
          <w:b w:val="0"/>
          <w:i w:val="0"/>
          <w:caps w:val="0"/>
          <w:color w:val="000000"/>
          <w:spacing w:val="0"/>
          <w:kern w:val="2"/>
          <w:sz w:val="21"/>
          <w:szCs w:val="21"/>
          <w:lang w:val="en-US" w:eastAsia="zh-CN" w:bidi="ar-SA"/>
        </w:rPr>
        <w:t>，2017年09月01日）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20" w:firstLineChars="20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r>
        <w:rPr>
          <w:rFonts w:ascii="宋体" w:hAnsi="宋体" w:eastAsia="宋体" w:cs="宋体"/>
          <w:sz w:val="21"/>
          <w:szCs w:val="21"/>
        </w:rPr>
        <w:fldChar w:fldCharType="begin"/>
      </w:r>
      <w:r>
        <w:rPr>
          <w:rFonts w:ascii="宋体" w:hAnsi="宋体" w:eastAsia="宋体" w:cs="宋体"/>
          <w:sz w:val="21"/>
          <w:szCs w:val="21"/>
        </w:rPr>
        <w:instrText xml:space="preserve"> HYPERLINK "http://www.jyb.cn/zgjyb/201709/t20170901_755904.html" </w:instrText>
      </w:r>
      <w:r>
        <w:rPr>
          <w:rFonts w:ascii="宋体" w:hAnsi="宋体" w:eastAsia="宋体" w:cs="宋体"/>
          <w:sz w:val="21"/>
          <w:szCs w:val="21"/>
        </w:rPr>
        <w:fldChar w:fldCharType="separate"/>
      </w:r>
      <w:r>
        <w:rPr>
          <w:rStyle w:val="13"/>
          <w:rFonts w:ascii="宋体" w:hAnsi="宋体" w:eastAsia="宋体" w:cs="宋体"/>
          <w:sz w:val="21"/>
          <w:szCs w:val="21"/>
        </w:rPr>
        <w:t>http://www.jyb.cn/zgjyb/201709/t20170901_755904.html</w:t>
      </w:r>
      <w:r>
        <w:rPr>
          <w:rFonts w:ascii="宋体" w:hAnsi="宋体" w:eastAsia="宋体" w:cs="宋体"/>
          <w:sz w:val="21"/>
          <w:szCs w:val="21"/>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20" w:firstLineChars="200"/>
        <w:jc w:val="left"/>
        <w:textAlignment w:val="auto"/>
        <w:outlineLvl w:val="9"/>
        <w:rPr>
          <w:rFonts w:hint="eastAsia" w:ascii="宋体" w:hAnsi="宋体" w:eastAsia="宋体" w:cs="宋体"/>
          <w:b w:val="0"/>
          <w:i w:val="0"/>
          <w:caps w:val="0"/>
          <w:color w:val="000000"/>
          <w:spacing w:val="0"/>
          <w:kern w:val="2"/>
          <w:sz w:val="21"/>
          <w:szCs w:val="21"/>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rightChars="0" w:firstLine="480" w:firstLineChars="200"/>
        <w:jc w:val="left"/>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pStyle w:val="2"/>
        <w:keepNext w:val="0"/>
        <w:keepLines w:val="0"/>
        <w:widowControl/>
        <w:suppressLineNumbers w:val="0"/>
        <w:spacing w:before="0" w:beforeAutospacing="0" w:after="0" w:afterAutospacing="0" w:line="480" w:lineRule="atLeast"/>
        <w:ind w:left="0" w:right="0"/>
        <w:jc w:val="center"/>
        <w:rPr>
          <w:b/>
          <w:color w:val="4B4B4B"/>
          <w:sz w:val="30"/>
          <w:szCs w:val="30"/>
          <w:shd w:val="clear" w:fill="FFFFFF"/>
        </w:rPr>
      </w:pPr>
    </w:p>
    <w:p>
      <w:pPr>
        <w:pStyle w:val="2"/>
        <w:keepNext w:val="0"/>
        <w:keepLines w:val="0"/>
        <w:widowControl/>
        <w:suppressLineNumbers w:val="0"/>
        <w:spacing w:before="0" w:beforeAutospacing="0" w:after="0" w:afterAutospacing="0" w:line="480" w:lineRule="atLeast"/>
        <w:ind w:left="0" w:right="0"/>
        <w:jc w:val="center"/>
        <w:rPr>
          <w:b/>
          <w:color w:val="4B4B4B"/>
          <w:sz w:val="30"/>
          <w:szCs w:val="30"/>
          <w:shd w:val="clear" w:fill="FFFFFF"/>
        </w:rPr>
      </w:pPr>
    </w:p>
    <w:p>
      <w:pPr>
        <w:pStyle w:val="2"/>
        <w:keepNext w:val="0"/>
        <w:keepLines w:val="0"/>
        <w:widowControl/>
        <w:suppressLineNumbers w:val="0"/>
        <w:spacing w:before="0" w:beforeAutospacing="0" w:after="0" w:afterAutospacing="0" w:line="480" w:lineRule="atLeast"/>
        <w:ind w:left="0" w:right="0"/>
        <w:jc w:val="center"/>
        <w:rPr>
          <w:b/>
          <w:color w:val="4B4B4B"/>
          <w:sz w:val="30"/>
          <w:szCs w:val="30"/>
          <w:shd w:val="clear" w:fill="FFFFFF"/>
        </w:rPr>
      </w:pPr>
    </w:p>
    <w:p>
      <w:pPr>
        <w:pStyle w:val="2"/>
        <w:keepNext w:val="0"/>
        <w:keepLines w:val="0"/>
        <w:widowControl/>
        <w:suppressLineNumbers w:val="0"/>
        <w:spacing w:before="0" w:beforeAutospacing="0" w:after="0" w:afterAutospacing="0" w:line="480" w:lineRule="atLeast"/>
        <w:ind w:left="0" w:right="0"/>
        <w:jc w:val="center"/>
        <w:rPr>
          <w:b/>
          <w:color w:val="4B4B4B"/>
          <w:sz w:val="30"/>
          <w:szCs w:val="30"/>
          <w:shd w:val="clear" w:fill="FFFFFF"/>
        </w:rPr>
      </w:pPr>
    </w:p>
    <w:p>
      <w:pPr>
        <w:pStyle w:val="2"/>
        <w:keepNext w:val="0"/>
        <w:keepLines w:val="0"/>
        <w:widowControl/>
        <w:suppressLineNumbers w:val="0"/>
        <w:spacing w:before="0" w:beforeAutospacing="0" w:after="0" w:afterAutospacing="0" w:line="480" w:lineRule="atLeast"/>
        <w:ind w:left="0" w:right="0"/>
        <w:jc w:val="center"/>
        <w:rPr>
          <w:b/>
          <w:color w:val="4B4B4B"/>
          <w:sz w:val="30"/>
          <w:szCs w:val="30"/>
          <w:shd w:val="clear" w:fill="FFFFFF"/>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both"/>
        <w:textAlignment w:val="auto"/>
        <w:outlineLvl w:val="9"/>
        <w:rPr>
          <w:rFonts w:hint="eastAsia"/>
          <w:b/>
          <w:bCs/>
          <w:sz w:val="36"/>
          <w:szCs w:val="36"/>
          <w:lang w:val="en-US" w:eastAsia="zh-CN"/>
        </w:rPr>
      </w:pPr>
      <w:r>
        <w:rPr>
          <w:rFonts w:hint="eastAsia"/>
          <w:b/>
          <w:bCs/>
          <w:sz w:val="36"/>
          <w:szCs w:val="36"/>
          <w:lang w:val="en-US" w:eastAsia="zh-CN"/>
        </w:rPr>
        <w:t>【经典导读】</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both"/>
        <w:textAlignment w:val="auto"/>
        <w:outlineLvl w:val="0"/>
        <w:rPr>
          <w:rFonts w:hint="eastAsia"/>
          <w:b/>
          <w:bCs/>
          <w:sz w:val="32"/>
          <w:szCs w:val="32"/>
        </w:rPr>
      </w:pPr>
      <w:r>
        <w:rPr>
          <w:rFonts w:hint="eastAsia"/>
          <w:b/>
          <w:bCs/>
          <w:sz w:val="36"/>
          <w:szCs w:val="36"/>
          <w:lang w:val="en-US" w:eastAsia="zh-CN"/>
        </w:rPr>
        <w:t xml:space="preserve">          </w:t>
      </w:r>
      <w:r>
        <w:rPr>
          <w:rFonts w:hint="eastAsia"/>
          <w:b/>
          <w:bCs/>
          <w:sz w:val="32"/>
          <w:szCs w:val="32"/>
          <w:lang w:val="en-US" w:eastAsia="zh-CN"/>
        </w:rPr>
        <w:t xml:space="preserve"> </w:t>
      </w:r>
      <w:bookmarkStart w:id="15" w:name="_Toc17709"/>
      <w:r>
        <w:rPr>
          <w:rFonts w:hint="eastAsia"/>
          <w:b/>
          <w:bCs/>
          <w:sz w:val="32"/>
          <w:szCs w:val="32"/>
        </w:rPr>
        <w:t>走出象牙塔</w:t>
      </w:r>
      <w:r>
        <w:rPr>
          <w:rFonts w:hint="eastAsia"/>
          <w:b/>
          <w:bCs/>
          <w:sz w:val="32"/>
          <w:szCs w:val="32"/>
          <w:lang w:eastAsia="zh-CN"/>
        </w:rPr>
        <w:t>：</w:t>
      </w:r>
      <w:r>
        <w:rPr>
          <w:rFonts w:hint="eastAsia"/>
          <w:b/>
          <w:bCs/>
          <w:sz w:val="32"/>
          <w:szCs w:val="32"/>
        </w:rPr>
        <w:t>现代大学的社会责任</w:t>
      </w:r>
      <w:bookmarkEnd w:id="15"/>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大学自诞生之日起就在 “象牙塔”的庇护下保持着学术独立、自治、自由的历史传统，并长期徘徊在社会的边缘。随着现代社会的发展，大学与社会的关系愈来愈密切，社会要求大学走出象牙塔并为社会提供服务的呼声越来越高，从而也使大学面临一系列的难题。</w:t>
      </w:r>
      <w:r>
        <w:rPr>
          <w:rFonts w:hint="default" w:ascii="宋体" w:hAnsi="宋体" w:eastAsia="宋体" w:cs="宋体"/>
          <w:b w:val="0"/>
          <w:i w:val="0"/>
          <w:caps w:val="0"/>
          <w:color w:val="000000"/>
          <w:spacing w:val="0"/>
          <w:kern w:val="2"/>
          <w:sz w:val="24"/>
          <w:szCs w:val="24"/>
          <w:lang w:val="en-US" w:eastAsia="zh-CN" w:bidi="ar-SA"/>
        </w:rPr>
        <w:t>哈佛大学前校长德里克·博克在《走出象牙塔——现代大学的社会责任》中对此进行了分析,并试图找出一条在现代大学社会责任与学术自由传统之间保持平衡的路径</w:t>
      </w:r>
      <w:r>
        <w:rPr>
          <w:rFonts w:hint="eastAsia" w:ascii="宋体" w:hAnsi="宋体" w:eastAsia="宋体" w:cs="宋体"/>
          <w:b w:val="0"/>
          <w:i w:val="0"/>
          <w:caps w:val="0"/>
          <w:color w:val="000000"/>
          <w:spacing w:val="0"/>
          <w:kern w:val="2"/>
          <w:sz w:val="24"/>
          <w:szCs w:val="24"/>
          <w:lang w:val="en-US" w:eastAsia="zh-CN" w:bidi="ar-SA"/>
        </w:rPr>
        <w:t>。</w:t>
      </w:r>
    </w:p>
    <w:p>
      <w:pPr>
        <w:pStyle w:val="18"/>
      </w:pPr>
      <w:r>
        <w:t>窗体底端</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德里克·博克(Derek·Bok，1930年―)是美国当代著名教育家、法学家和社会学家，毕业于斯坦福大学，获学士学位。1958年开始任哈佛大学法学教授；1968-1971年任哈佛大学法学院院长；1971―1991年任哈佛大学校长。博克生活在美国高等教育的发展与变革时期,担任哈佛校长的20年间,十分重视本科生教育,强调通识教育和核心课程。富于开拓精神的他,审时度势,锐意改革,重新组织哈佛的管理机构,引入现代管理方法,引领哈佛步入了一个崭新的时代。博克开放的高等教育观在美国甚至世界都产生了重大影响,被公认为美国教育界最有影响力的人物之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走出象牙塔》成书于第二次世界大战30多年后特定的历史背景下,此时大学与社会的联系已经日益密切,大学走出象牙塔后,如何维护自己的自由,如何对社会问题做出积极的反应等,成为高等教育研究的焦点问题。博克在该书中针对现代大学在新环境下做决定的问题建立了三项基本原则,并将它们运用于存在广泛争议的九个方面。这三项基本原则分别是:保护学术自由、保护大学自治和承担社会责任。同时，博克在该书中还详细论述了学者、政府、大学在维护大学的自由和服务社会方面各自应起的作用,并提出了许多独到的见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sz w:val="24"/>
          <w:szCs w:val="24"/>
        </w:rPr>
        <w:t>时至今日，一个游离于社会之外、我行我素的大学是难以找到的，一个不承担社会责任的大学是难以理解的。大学职能随着社会的发展而日益丰富，既传授知识、培养人才，又进行科研、生产新知识，还要走出“象牙塔”、直接为社会提供服务。现代大学需要实现从被动的社会义务履行者到主动的社会责任承担者的转变。这不仅仅是角色的转换，更是思想和观念的创新，是行动与实践的进步。</w:t>
      </w:r>
      <w:r>
        <w:rPr>
          <w:rFonts w:hint="eastAsia" w:ascii="宋体" w:hAnsi="宋体" w:eastAsia="宋体" w:cs="宋体"/>
          <w:b w:val="0"/>
          <w:i w:val="0"/>
          <w:caps w:val="0"/>
          <w:color w:val="000000"/>
          <w:spacing w:val="0"/>
          <w:kern w:val="2"/>
          <w:sz w:val="24"/>
          <w:szCs w:val="24"/>
          <w:lang w:val="en-US" w:eastAsia="zh-CN" w:bidi="ar-SA"/>
        </w:rPr>
        <w:t>该书出版后，在西方高等教育学界产生了极大的反响，成为表述大学继教学、研究功能后履行社会服务功能的经典之作。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r>
        <w:rPr>
          <w:rFonts w:hint="eastAsia" w:ascii="宋体" w:hAnsi="宋体" w:eastAsia="宋体" w:cs="宋体"/>
          <w:b w:val="0"/>
          <w:i w:val="0"/>
          <w:caps w:val="0"/>
          <w:color w:val="000000"/>
          <w:spacing w:val="0"/>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i w:val="0"/>
          <w:caps w:val="0"/>
          <w:color w:val="000000"/>
          <w:spacing w:val="0"/>
          <w:kern w:val="2"/>
          <w:sz w:val="24"/>
          <w:szCs w:val="24"/>
          <w:lang w:val="en-US" w:eastAsia="zh-CN" w:bidi="ar-SA"/>
        </w:rPr>
      </w:pPr>
    </w:p>
    <w:p>
      <w:pPr>
        <w:rPr>
          <w:rFonts w:ascii="Times New Roman" w:hAnsi="Times New Roman" w:eastAsia="黑体"/>
          <w:sz w:val="24"/>
          <w:szCs w:val="24"/>
        </w:rPr>
      </w:pPr>
      <w:r>
        <w:rPr>
          <w:rFonts w:ascii="Times New Roman" w:hAnsi="Times New Roman"/>
        </w:rPr>
        <mc:AlternateContent>
          <mc:Choice Requires="wps">
            <w:drawing>
              <wp:anchor distT="0" distB="0" distL="114300" distR="114300" simplePos="0" relativeHeight="332347392" behindDoc="0" locked="0" layoutInCell="1" allowOverlap="1">
                <wp:simplePos x="0" y="0"/>
                <wp:positionH relativeFrom="column">
                  <wp:posOffset>-31115</wp:posOffset>
                </wp:positionH>
                <wp:positionV relativeFrom="paragraph">
                  <wp:posOffset>73660</wp:posOffset>
                </wp:positionV>
                <wp:extent cx="5998210" cy="635"/>
                <wp:effectExtent l="0" t="25400" r="2540" b="31115"/>
                <wp:wrapNone/>
                <wp:docPr id="69" name="自选图形 43"/>
                <wp:cNvGraphicFramePr/>
                <a:graphic xmlns:a="http://schemas.openxmlformats.org/drawingml/2006/main">
                  <a:graphicData uri="http://schemas.microsoft.com/office/word/2010/wordprocessingShape">
                    <wps:wsp>
                      <wps:cNvCnPr/>
                      <wps:spPr>
                        <a:xfrm>
                          <a:off x="0" y="0"/>
                          <a:ext cx="5998210" cy="635"/>
                        </a:xfrm>
                        <a:prstGeom prst="straightConnector1">
                          <a:avLst/>
                        </a:prstGeom>
                        <a:ln w="50800" cap="flat" cmpd="sng">
                          <a:solidFill>
                            <a:srgbClr val="FF0000"/>
                          </a:solidFill>
                          <a:prstDash val="solid"/>
                          <a:headEnd type="none" w="med" len="med"/>
                          <a:tailEnd type="none" w="med" len="med"/>
                        </a:ln>
                      </wps:spPr>
                      <wps:bodyPr/>
                    </wps:wsp>
                  </a:graphicData>
                </a:graphic>
              </wp:anchor>
            </w:drawing>
          </mc:Choice>
          <mc:Fallback>
            <w:pict>
              <v:shape id="自选图形 43" o:spid="_x0000_s1026" o:spt="32" type="#_x0000_t32" style="position:absolute;left:0pt;margin-left:-2.45pt;margin-top:5.8pt;height:0.05pt;width:472.3pt;z-index:332347392;mso-width-relative:page;mso-height-relative:page;" filled="f" stroked="t" coordsize="21600,21600" o:gfxdata="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MK8atkAAAAIAQAA&#10;DwAAAAAAAAABACAAAAAiAAAAZHJzL2Rvd25yZXYueG1sUEsBAhQAFAAAAAgAh07iQFEzwOnfAQAA&#10;mgMAAA4AAAAAAAAAAQAgAAAAKAEAAGRycy9lMm9Eb2MueG1sUEsFBgAAAAAGAAYAWQEAAHkFAAAA&#10;AA==&#10;">
                <v:fill on="f" focussize="0,0"/>
                <v:stroke weight="4pt" color="#FF0000" joinstyle="round"/>
                <v:imagedata o:title=""/>
                <o:lock v:ext="edit" aspectratio="f"/>
              </v:shape>
            </w:pict>
          </mc:Fallback>
        </mc:AlternateContent>
      </w:r>
    </w:p>
    <w:p>
      <w:pPr>
        <w:rPr>
          <w:rFonts w:ascii="Times New Roman" w:hAnsi="Times New Roman" w:eastAsia="黑体"/>
          <w:sz w:val="24"/>
          <w:szCs w:val="24"/>
        </w:rPr>
      </w:pPr>
      <w:r>
        <w:rPr>
          <w:rFonts w:ascii="Times New Roman" w:hAnsi="Times New Roman" w:eastAsia="黑体"/>
          <w:sz w:val="24"/>
          <w:szCs w:val="24"/>
        </w:rPr>
        <w:t>主办：信阳农林学院</w:t>
      </w:r>
      <w:r>
        <w:rPr>
          <w:rFonts w:hint="eastAsia" w:ascii="Times New Roman" w:hAnsi="Times New Roman" w:eastAsia="黑体"/>
          <w:sz w:val="24"/>
          <w:szCs w:val="24"/>
          <w:lang w:eastAsia="zh-CN"/>
        </w:rPr>
        <w:t>发展规划处（高教研究所）</w:t>
      </w:r>
    </w:p>
    <w:p>
      <w:pPr>
        <w:rPr>
          <w:rFonts w:ascii="Times New Roman" w:hAnsi="Times New Roman" w:eastAsia="黑体"/>
          <w:sz w:val="24"/>
          <w:szCs w:val="24"/>
        </w:rPr>
      </w:pPr>
      <w:r>
        <w:rPr>
          <w:rFonts w:ascii="Times New Roman" w:hAnsi="Times New Roman" w:eastAsia="黑体"/>
          <w:sz w:val="24"/>
          <w:szCs w:val="24"/>
        </w:rPr>
        <w:t>编辑：</w:t>
      </w:r>
      <w:r>
        <w:rPr>
          <w:rFonts w:hint="eastAsia" w:ascii="Times New Roman" w:hAnsi="Times New Roman" w:eastAsia="黑体"/>
          <w:sz w:val="24"/>
          <w:szCs w:val="24"/>
          <w:lang w:eastAsia="zh-CN"/>
        </w:rPr>
        <w:t>杨刚</w:t>
      </w:r>
      <w:r>
        <w:rPr>
          <w:rFonts w:ascii="Times New Roman" w:hAnsi="Times New Roman" w:eastAsia="黑体"/>
          <w:sz w:val="24"/>
          <w:szCs w:val="24"/>
        </w:rPr>
        <w:t xml:space="preserve"> </w:t>
      </w:r>
      <w:r>
        <w:rPr>
          <w:rFonts w:hint="eastAsia" w:ascii="Times New Roman" w:hAnsi="Times New Roman" w:eastAsia="黑体"/>
          <w:sz w:val="24"/>
          <w:szCs w:val="24"/>
          <w:lang w:eastAsia="zh-CN"/>
        </w:rPr>
        <w:t>周俊</w:t>
      </w:r>
      <w:r>
        <w:rPr>
          <w:rFonts w:hint="eastAsia" w:ascii="Times New Roman" w:hAnsi="Times New Roman" w:eastAsia="黑体"/>
          <w:sz w:val="24"/>
          <w:szCs w:val="24"/>
          <w:lang w:val="en-US" w:eastAsia="zh-CN"/>
        </w:rPr>
        <w:t xml:space="preserve"> </w:t>
      </w:r>
      <w:r>
        <w:rPr>
          <w:rFonts w:hint="eastAsia" w:ascii="Times New Roman" w:hAnsi="Times New Roman" w:eastAsia="黑体"/>
          <w:sz w:val="24"/>
          <w:szCs w:val="24"/>
          <w:lang w:eastAsia="zh-CN"/>
        </w:rPr>
        <w:t>张兰兰</w:t>
      </w:r>
    </w:p>
    <w:p>
      <w:pPr>
        <w:rPr>
          <w:rFonts w:ascii="Times New Roman" w:hAnsi="Times New Roman" w:eastAsia="黑体"/>
          <w:sz w:val="24"/>
          <w:szCs w:val="24"/>
        </w:rPr>
      </w:pPr>
      <w:r>
        <w:rPr>
          <w:rFonts w:ascii="Times New Roman" w:hAnsi="Times New Roman" w:eastAsia="黑体"/>
          <w:sz w:val="24"/>
          <w:szCs w:val="24"/>
        </w:rPr>
        <w:t>审稿：</w:t>
      </w:r>
      <w:r>
        <w:rPr>
          <w:rFonts w:hint="eastAsia" w:ascii="Times New Roman" w:hAnsi="Times New Roman" w:eastAsia="黑体"/>
          <w:sz w:val="24"/>
          <w:szCs w:val="24"/>
          <w:lang w:eastAsia="zh-CN"/>
        </w:rPr>
        <w:t>易明柏</w:t>
      </w:r>
      <w:r>
        <w:rPr>
          <w:rFonts w:ascii="Times New Roman" w:hAnsi="Times New Roman" w:eastAsia="黑体"/>
          <w:sz w:val="24"/>
          <w:szCs w:val="24"/>
        </w:rPr>
        <w:t xml:space="preserve"> </w:t>
      </w:r>
    </w:p>
    <w:p>
      <w:pPr>
        <w:rPr>
          <w:rFonts w:ascii="Times New Roman" w:hAnsi="Times New Roman" w:eastAsia="黑体"/>
          <w:sz w:val="24"/>
          <w:szCs w:val="24"/>
        </w:rPr>
      </w:pPr>
      <w:r>
        <w:rPr>
          <w:rFonts w:ascii="Times New Roman" w:hAnsi="Times New Roman" w:eastAsia="黑体"/>
          <w:sz w:val="24"/>
          <w:szCs w:val="24"/>
        </w:rPr>
        <w:t>通讯地址：河南省信阳市平桥区北环路1号       电话：0376-668</w:t>
      </w:r>
      <w:r>
        <w:rPr>
          <w:rFonts w:hint="eastAsia" w:ascii="Times New Roman" w:hAnsi="Times New Roman" w:eastAsia="黑体"/>
          <w:sz w:val="24"/>
          <w:szCs w:val="24"/>
          <w:lang w:val="en-US" w:eastAsia="zh-CN"/>
        </w:rPr>
        <w:t>6859</w:t>
      </w:r>
    </w:p>
    <w:p>
      <w:pPr>
        <w:rPr>
          <w:rFonts w:hint="eastAsia"/>
          <w:b/>
          <w:bCs/>
          <w:sz w:val="30"/>
          <w:szCs w:val="30"/>
          <w:lang w:val="en-US" w:eastAsia="zh-CN"/>
        </w:rPr>
      </w:pPr>
      <w:r>
        <w:rPr>
          <w:rFonts w:ascii="Times New Roman" w:hAnsi="Times New Roman"/>
        </w:rPr>
        <mc:AlternateContent>
          <mc:Choice Requires="wps">
            <w:drawing>
              <wp:anchor distT="0" distB="0" distL="114300" distR="114300" simplePos="0" relativeHeight="292002816" behindDoc="0" locked="0" layoutInCell="1" allowOverlap="1">
                <wp:simplePos x="0" y="0"/>
                <wp:positionH relativeFrom="column">
                  <wp:posOffset>-21590</wp:posOffset>
                </wp:positionH>
                <wp:positionV relativeFrom="paragraph">
                  <wp:posOffset>387985</wp:posOffset>
                </wp:positionV>
                <wp:extent cx="5998210" cy="635"/>
                <wp:effectExtent l="0" t="25400" r="2540" b="31115"/>
                <wp:wrapNone/>
                <wp:docPr id="68" name="自选图形 42"/>
                <wp:cNvGraphicFramePr/>
                <a:graphic xmlns:a="http://schemas.openxmlformats.org/drawingml/2006/main">
                  <a:graphicData uri="http://schemas.microsoft.com/office/word/2010/wordprocessingShape">
                    <wps:wsp>
                      <wps:cNvCnPr/>
                      <wps:spPr>
                        <a:xfrm>
                          <a:off x="0" y="0"/>
                          <a:ext cx="5998210" cy="635"/>
                        </a:xfrm>
                        <a:prstGeom prst="straightConnector1">
                          <a:avLst/>
                        </a:prstGeom>
                        <a:ln w="50800" cap="flat" cmpd="sng">
                          <a:solidFill>
                            <a:srgbClr val="FF0000"/>
                          </a:solidFill>
                          <a:prstDash val="solid"/>
                          <a:headEnd type="none" w="med" len="med"/>
                          <a:tailEnd type="none" w="med" len="med"/>
                        </a:ln>
                      </wps:spPr>
                      <wps:bodyPr/>
                    </wps:wsp>
                  </a:graphicData>
                </a:graphic>
              </wp:anchor>
            </w:drawing>
          </mc:Choice>
          <mc:Fallback>
            <w:pict>
              <v:shape id="自选图形 42" o:spid="_x0000_s1026" o:spt="32" type="#_x0000_t32" style="position:absolute;left:0pt;margin-left:-1.7pt;margin-top:30.55pt;height:0.05pt;width:472.3pt;z-index:292002816;mso-width-relative:page;mso-height-relative:page;" filled="f" stroked="t" coordsize="21600,21600" o:gfxdata="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T4VT2QAAAAgBAAAP&#10;AAAAAAAAAAEAIAAAACIAAABkcnMvZG93bnJldi54bWxQSwECFAAUAAAACACHTuJAqI1mYd4BAACa&#10;AwAADgAAAAAAAAABACAAAAAoAQAAZHJzL2Uyb0RvYy54bWxQSwUGAAAAAAYABgBZAQAAeAUAAAAA&#10;">
                <v:fill on="f" focussize="0,0"/>
                <v:stroke weight="4pt" color="#FF0000" joinstyle="round"/>
                <v:imagedata o:title=""/>
                <o:lock v:ext="edit" aspectratio="f"/>
              </v:shape>
            </w:pict>
          </mc:Fallback>
        </mc:AlternateContent>
      </w:r>
      <w:r>
        <w:rPr>
          <w:rFonts w:ascii="Times New Roman" w:hAnsi="Times New Roman" w:eastAsia="黑体"/>
          <w:sz w:val="24"/>
          <w:szCs w:val="24"/>
        </w:rPr>
        <w:t>邮    编：464000                             邮箱：</w:t>
      </w:r>
      <w:r>
        <w:rPr>
          <w:rFonts w:ascii="Times New Roman" w:hAnsi="Times New Roman" w:eastAsia="黑体"/>
          <w:sz w:val="24"/>
          <w:szCs w:val="24"/>
        </w:rPr>
        <w:fldChar w:fldCharType="begin"/>
      </w:r>
      <w:r>
        <w:rPr>
          <w:rFonts w:ascii="Times New Roman" w:hAnsi="Times New Roman" w:eastAsia="黑体"/>
          <w:sz w:val="24"/>
          <w:szCs w:val="24"/>
        </w:rPr>
        <w:instrText xml:space="preserve">HYPERLINK "mailto:275035267@qq.com"</w:instrText>
      </w:r>
      <w:r>
        <w:rPr>
          <w:rFonts w:ascii="Times New Roman" w:hAnsi="Times New Roman" w:eastAsia="黑体"/>
          <w:sz w:val="24"/>
          <w:szCs w:val="24"/>
        </w:rPr>
        <w:fldChar w:fldCharType="separate"/>
      </w:r>
      <w:r>
        <w:rPr>
          <w:rFonts w:hint="eastAsia" w:ascii="Times New Roman" w:hAnsi="Times New Roman" w:eastAsia="黑体"/>
          <w:sz w:val="24"/>
          <w:szCs w:val="24"/>
          <w:lang w:val="en-US" w:eastAsia="zh-CN"/>
        </w:rPr>
        <w:t>zhlan101</w:t>
      </w:r>
      <w:r>
        <w:rPr>
          <w:rFonts w:ascii="Times New Roman" w:hAnsi="Times New Roman" w:eastAsia="黑体"/>
          <w:sz w:val="24"/>
          <w:szCs w:val="24"/>
        </w:rPr>
        <w:t>@</w:t>
      </w:r>
      <w:r>
        <w:rPr>
          <w:rFonts w:hint="eastAsia" w:ascii="Times New Roman" w:hAnsi="Times New Roman" w:eastAsia="黑体"/>
          <w:sz w:val="24"/>
          <w:szCs w:val="24"/>
          <w:lang w:val="en-US" w:eastAsia="zh-CN"/>
        </w:rPr>
        <w:t>163</w:t>
      </w:r>
      <w:r>
        <w:rPr>
          <w:rFonts w:ascii="Times New Roman" w:hAnsi="Times New Roman" w:eastAsia="黑体"/>
          <w:sz w:val="24"/>
          <w:szCs w:val="24"/>
        </w:rPr>
        <w:t>.com</w:t>
      </w:r>
      <w:r>
        <w:rPr>
          <w:rFonts w:ascii="Times New Roman" w:hAnsi="Times New Roman" w:eastAsia="黑体"/>
          <w:sz w:val="24"/>
          <w:szCs w:val="24"/>
        </w:rPr>
        <w:fldChar w:fldCharType="end"/>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eiryo UI">
    <w:panose1 w:val="020B0604030504040204"/>
    <w:charset w:val="80"/>
    <w:family w:val="auto"/>
    <w:pitch w:val="default"/>
    <w:sig w:usb0="E10102FF" w:usb1="EAC7FFFF" w:usb2="00010012" w:usb3="00000000" w:csb0="6002009F" w:csb1="DFD7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29D3"/>
    <w:multiLevelType w:val="singleLevel"/>
    <w:tmpl w:val="59C329D3"/>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635CF"/>
    <w:rsid w:val="02196470"/>
    <w:rsid w:val="031B10FD"/>
    <w:rsid w:val="048F6352"/>
    <w:rsid w:val="04975C2B"/>
    <w:rsid w:val="05FC4B36"/>
    <w:rsid w:val="065B05A1"/>
    <w:rsid w:val="08C53C10"/>
    <w:rsid w:val="08F55485"/>
    <w:rsid w:val="0C2D69FA"/>
    <w:rsid w:val="0D4D2B89"/>
    <w:rsid w:val="0F4435B4"/>
    <w:rsid w:val="0F4E418E"/>
    <w:rsid w:val="134B21F1"/>
    <w:rsid w:val="1B3F4FDF"/>
    <w:rsid w:val="215824E7"/>
    <w:rsid w:val="25A740B1"/>
    <w:rsid w:val="27244EB8"/>
    <w:rsid w:val="27AA56EA"/>
    <w:rsid w:val="2A1635CF"/>
    <w:rsid w:val="2A1F24E6"/>
    <w:rsid w:val="2A3E066C"/>
    <w:rsid w:val="2B2F6C18"/>
    <w:rsid w:val="2D8A421A"/>
    <w:rsid w:val="30741BB2"/>
    <w:rsid w:val="30B8679D"/>
    <w:rsid w:val="312E4415"/>
    <w:rsid w:val="344E137E"/>
    <w:rsid w:val="35C67E66"/>
    <w:rsid w:val="37842D70"/>
    <w:rsid w:val="39D9601F"/>
    <w:rsid w:val="3A153B58"/>
    <w:rsid w:val="3A565CF9"/>
    <w:rsid w:val="3AEF003B"/>
    <w:rsid w:val="3DC412EE"/>
    <w:rsid w:val="3F094CF5"/>
    <w:rsid w:val="3F125D53"/>
    <w:rsid w:val="3F685D1D"/>
    <w:rsid w:val="42F67211"/>
    <w:rsid w:val="46F04D20"/>
    <w:rsid w:val="50C57A9F"/>
    <w:rsid w:val="51283500"/>
    <w:rsid w:val="521236FA"/>
    <w:rsid w:val="52DE46BC"/>
    <w:rsid w:val="53747886"/>
    <w:rsid w:val="541C1F75"/>
    <w:rsid w:val="54B42FE3"/>
    <w:rsid w:val="59747184"/>
    <w:rsid w:val="5BD46D17"/>
    <w:rsid w:val="5D531CBB"/>
    <w:rsid w:val="5F6213E9"/>
    <w:rsid w:val="5FE452A7"/>
    <w:rsid w:val="643F1120"/>
    <w:rsid w:val="6757254E"/>
    <w:rsid w:val="676F1F4E"/>
    <w:rsid w:val="67840E36"/>
    <w:rsid w:val="68976D5F"/>
    <w:rsid w:val="69884806"/>
    <w:rsid w:val="69D94B90"/>
    <w:rsid w:val="715671FB"/>
    <w:rsid w:val="740A66EE"/>
    <w:rsid w:val="75331959"/>
    <w:rsid w:val="75C41D4A"/>
    <w:rsid w:val="779A535A"/>
    <w:rsid w:val="7B976BE3"/>
    <w:rsid w:val="7CDF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qFormat/>
    <w:uiPriority w:val="0"/>
    <w:rPr>
      <w:color w:val="0F0F0F"/>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rPr>
      <w:color w:val="666666"/>
      <w:u w:val="single"/>
    </w:rPr>
  </w:style>
  <w:style w:type="character" w:styleId="13">
    <w:name w:val="Hyperlink"/>
    <w:basedOn w:val="7"/>
    <w:qFormat/>
    <w:uiPriority w:val="0"/>
    <w:rPr>
      <w:color w:val="0F0F0F"/>
      <w:u w:val="none"/>
    </w:rPr>
  </w:style>
  <w:style w:type="character" w:styleId="14">
    <w:name w:val="HTML Cite"/>
    <w:basedOn w:val="7"/>
    <w:qFormat/>
    <w:uiPriority w:val="0"/>
  </w:style>
  <w:style w:type="character" w:customStyle="1" w:styleId="16">
    <w:name w:val="one"/>
    <w:basedOn w:val="7"/>
    <w:qFormat/>
    <w:uiPriority w:val="0"/>
    <w:rPr>
      <w:color w:val="003366"/>
    </w:rPr>
  </w:style>
  <w:style w:type="paragraph" w:customStyle="1" w:styleId="17">
    <w:name w:val="_Style 13"/>
    <w:basedOn w:val="1"/>
    <w:next w:val="1"/>
    <w:qFormat/>
    <w:uiPriority w:val="0"/>
    <w:pPr>
      <w:pBdr>
        <w:bottom w:val="single" w:color="auto" w:sz="6" w:space="1"/>
      </w:pBdr>
      <w:jc w:val="center"/>
    </w:pPr>
    <w:rPr>
      <w:rFonts w:ascii="Arial" w:eastAsia="宋体"/>
      <w:vanish/>
      <w:sz w:val="16"/>
    </w:rPr>
  </w:style>
  <w:style w:type="paragraph" w:customStyle="1" w:styleId="18">
    <w:name w:val="_Style 1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2017-09-19T01:28:00Z</dcterms:created>
  <dc:creator>zhlan</dc:creator>
  <cp:lastModifiedBy>迅速N了</cp:lastModifiedBy>
  <dcterms:modified xsi:type="dcterms:W3CDTF">2017-12-19T01:32:57Z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