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大标宋简体"/>
          <w:b/>
          <w:sz w:val="44"/>
          <w:szCs w:val="44"/>
          <w:lang w:val="en-US" w:eastAsia="zh-CN"/>
        </w:rPr>
      </w:pPr>
      <w:r>
        <w:rPr>
          <w:rFonts w:hint="eastAsia" w:ascii="Times New Roman" w:hAnsi="Times New Roman" w:eastAsia="方正大标宋简体"/>
          <w:b/>
          <w:sz w:val="44"/>
          <w:szCs w:val="44"/>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color w:val="000000" w:themeColor="text1"/>
          <w:sz w:val="48"/>
          <w:szCs w:val="48"/>
          <w:u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48"/>
          <w:szCs w:val="48"/>
          <w:u w:val="none"/>
          <w:lang w:eastAsia="zh-CN"/>
          <w14:textFill>
            <w14:solidFill>
              <w14:schemeClr w14:val="tx1"/>
            </w14:solidFill>
          </w14:textFill>
        </w:rPr>
        <w:t>信阳农林</w:t>
      </w:r>
      <w:r>
        <w:rPr>
          <w:rFonts w:hint="eastAsia" w:ascii="方正小标宋简体" w:hAnsi="方正小标宋简体" w:eastAsia="方正小标宋简体" w:cs="方正小标宋简体"/>
          <w:b/>
          <w:bCs/>
          <w:color w:val="000000" w:themeColor="text1"/>
          <w:sz w:val="48"/>
          <w:szCs w:val="48"/>
          <w:u w:val="none"/>
          <w14:textFill>
            <w14:solidFill>
              <w14:schemeClr w14:val="tx1"/>
            </w14:solidFill>
          </w14:textFill>
        </w:rPr>
        <w:t>学院</w:t>
      </w:r>
      <w:r>
        <w:rPr>
          <w:rFonts w:hint="eastAsia" w:ascii="方正小标宋简体" w:hAnsi="方正小标宋简体" w:eastAsia="方正小标宋简体" w:cs="方正小标宋简体"/>
          <w:b/>
          <w:bCs/>
          <w:color w:val="000000" w:themeColor="text1"/>
          <w:sz w:val="48"/>
          <w:szCs w:val="48"/>
          <w:u w:val="none"/>
          <w:lang w:eastAsia="zh-CN"/>
          <w14:textFill>
            <w14:solidFill>
              <w14:schemeClr w14:val="tx1"/>
            </w14:solidFill>
          </w14:textFill>
        </w:rPr>
        <w:t>“十四五”事业</w:t>
      </w:r>
      <w:r>
        <w:rPr>
          <w:rFonts w:hint="eastAsia" w:ascii="方正小标宋简体" w:hAnsi="方正小标宋简体" w:eastAsia="方正小标宋简体" w:cs="方正小标宋简体"/>
          <w:b/>
          <w:bCs/>
          <w:color w:val="000000" w:themeColor="text1"/>
          <w:sz w:val="48"/>
          <w:szCs w:val="48"/>
          <w:u w:val="none"/>
          <w14:textFill>
            <w14:solidFill>
              <w14:schemeClr w14:val="tx1"/>
            </w14:solidFill>
          </w14:textFill>
        </w:rPr>
        <w:t>发展规划</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color w:val="000000" w:themeColor="text1"/>
          <w:sz w:val="44"/>
          <w:szCs w:val="44"/>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color w:val="000000" w:themeColor="text1"/>
          <w:sz w:val="36"/>
          <w:szCs w:val="36"/>
          <w:u w:val="none"/>
          <w:lang w:val="en-US" w:eastAsia="zh-CN"/>
          <w14:textFill>
            <w14:solidFill>
              <w14:schemeClr w14:val="tx1"/>
            </w14:solidFill>
          </w14:textFill>
        </w:rPr>
      </w:pPr>
      <w:r>
        <w:rPr>
          <w:rFonts w:hint="eastAsia" w:ascii="仿宋" w:hAnsi="仿宋" w:eastAsia="仿宋" w:cs="仿宋"/>
          <w:b/>
          <w:bCs w:val="0"/>
          <w:color w:val="000000" w:themeColor="text1"/>
          <w:sz w:val="36"/>
          <w:szCs w:val="36"/>
          <w:u w:val="none"/>
          <w:lang w:val="en-US" w:eastAsia="zh-CN"/>
          <w14:textFill>
            <w14:solidFill>
              <w14:schemeClr w14:val="tx1"/>
            </w14:solidFill>
          </w14:textFill>
        </w:rPr>
        <w:t>（初 稿）</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36"/>
          <w:szCs w:val="36"/>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36"/>
          <w:szCs w:val="36"/>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u w:val="none"/>
          <w:lang w:val="en-US" w:eastAsia="zh-CN"/>
          <w14:textFill>
            <w14:solidFill>
              <w14:schemeClr w14:val="tx1"/>
            </w14:solidFill>
          </w14:textFill>
        </w:rPr>
        <w:t>“十四五”事业发展规划编写组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方正小标宋简体" w:hAnsi="方正小标宋简体" w:eastAsia="方正小标宋简体" w:cs="方正小标宋简体"/>
          <w:b w:val="0"/>
          <w:bCs w:val="0"/>
          <w:color w:val="000000" w:themeColor="text1"/>
          <w:sz w:val="36"/>
          <w:szCs w:val="36"/>
          <w:u w:val="none"/>
          <w:lang w:val="en-US" w:eastAsia="zh-CN"/>
          <w14:textFill>
            <w14:solidFill>
              <w14:schemeClr w14:val="tx1"/>
            </w14:solidFill>
          </w14:textFill>
        </w:rPr>
        <w:t>2021年4月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8"/>
          <w:szCs w:val="48"/>
          <w:u w:val="none"/>
          <w:lang w:val="en-US" w:eastAsia="zh-CN"/>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
          <w:bCs/>
          <w:color w:val="000000" w:themeColor="text1"/>
          <w:sz w:val="24"/>
          <w:szCs w:val="24"/>
          <w:u w:val="none"/>
          <w:lang w:val="en-US" w:eastAsia="zh-CN"/>
          <w14:textFill>
            <w14:solidFill>
              <w14:schemeClr w14:val="tx1"/>
            </w14:solidFill>
          </w14:textFill>
        </w:rPr>
        <w:instrText xml:space="preserve">TOC \o "1-3" \h \u </w:instrText>
      </w:r>
      <w:r>
        <w:rPr>
          <w:rFonts w:hint="eastAsia" w:ascii="宋体" w:hAnsi="宋体" w:eastAsia="宋体" w:cs="宋体"/>
          <w:b/>
          <w:bCs/>
          <w:color w:val="000000" w:themeColor="text1"/>
          <w:sz w:val="24"/>
          <w:szCs w:val="24"/>
          <w:u w:val="none"/>
          <w:lang w:val="en-US" w:eastAsia="zh-CN"/>
          <w14:textFill>
            <w14:solidFill>
              <w14:schemeClr w14:val="tx1"/>
            </w14:solidFill>
          </w14:textFill>
        </w:rPr>
        <w:fldChar w:fldCharType="separate"/>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_Toc10313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一</w:t>
      </w:r>
      <w:r>
        <w:rPr>
          <w:rFonts w:hint="eastAsia" w:ascii="宋体" w:hAnsi="宋体" w:eastAsia="宋体" w:cs="宋体"/>
          <w:b/>
          <w:bCs w:val="0"/>
          <w:spacing w:val="7"/>
          <w:kern w:val="2"/>
          <w:sz w:val="24"/>
          <w:szCs w:val="24"/>
          <w:lang w:val="en-US" w:eastAsia="zh-CN" w:bidi="ar-SA"/>
        </w:rPr>
        <w:t>、“十三五”期间学校改革发展主要成就</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_Toc10313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_Toc11759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（一） 人才培养结构不断优化，人才培养质量持续提升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_Toc11759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_Toc18045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（二） 学科专业体系持续完善，教育教学改革走向深入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_Toc17024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（三） 坚持引进培育并举，师资队伍建设富有成效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_Toc17024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_Toc13890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（四） 科研水平不断提高，社会服务能力持续增强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_Toc13890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_Toc8559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（五） 对外合作稳步推进，国际交流合作日益广泛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_Toc8559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_Toc13000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（六） 办学投入不断加大，支撑保障条件日益完善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_Toc13000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_Toc28273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（七） 育人环境不断改善，校园文化建设特色明显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_Toc28273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_Toc29596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（八） 制度建设持续加强，依法治校成效显著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_Toc17568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（九） 党建工作日益深化，思想政治工作再上台阶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_Toc17568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_Toc19649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二、</w:t>
      </w:r>
      <w:r>
        <w:rPr>
          <w:rFonts w:hint="eastAsia" w:ascii="宋体" w:hAnsi="宋体" w:eastAsia="宋体" w:cs="宋体"/>
          <w:b/>
          <w:bCs w:val="0"/>
          <w:spacing w:val="7"/>
          <w:kern w:val="2"/>
          <w:sz w:val="24"/>
          <w:szCs w:val="24"/>
          <w:lang w:val="en-US" w:eastAsia="zh-CN" w:bidi="ar-SA"/>
        </w:rPr>
        <w:t>“十四五”</w:t>
      </w:r>
      <w:r>
        <w:rPr>
          <w:rFonts w:hint="eastAsia" w:ascii="宋体" w:hAnsi="宋体" w:eastAsia="宋体" w:cs="宋体"/>
          <w:b/>
          <w:bCs w:val="0"/>
          <w:sz w:val="24"/>
          <w:szCs w:val="24"/>
          <w:lang w:val="en-US" w:eastAsia="zh-CN"/>
        </w:rPr>
        <w:t>时期</w:t>
      </w:r>
      <w:r>
        <w:rPr>
          <w:rFonts w:hint="eastAsia" w:ascii="宋体" w:hAnsi="宋体" w:eastAsia="宋体" w:cs="宋体"/>
          <w:b/>
          <w:bCs w:val="0"/>
          <w:spacing w:val="7"/>
          <w:kern w:val="2"/>
          <w:sz w:val="24"/>
          <w:szCs w:val="24"/>
          <w:lang w:val="en-US" w:eastAsia="zh-CN" w:bidi="ar-SA"/>
        </w:rPr>
        <w:t>学校发展面临的机遇与挑战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_Toc19649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_Toc9158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（一）发展机遇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_Toc9158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_Toc31020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pacing w:val="7"/>
          <w:kern w:val="2"/>
          <w:sz w:val="24"/>
          <w:szCs w:val="24"/>
          <w:lang w:val="en-US" w:eastAsia="zh-CN" w:bidi="ar-SA"/>
        </w:rPr>
        <w:t>（二）问题与挑战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_Toc31020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_Toc1415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三</w:t>
      </w:r>
      <w:r>
        <w:rPr>
          <w:rFonts w:hint="eastAsia" w:ascii="宋体" w:hAnsi="宋体" w:eastAsia="宋体" w:cs="宋体"/>
          <w:b/>
          <w:bCs w:val="0"/>
          <w:sz w:val="24"/>
          <w:szCs w:val="24"/>
          <w:lang w:val="en-US" w:eastAsia="zh-CN"/>
        </w:rPr>
        <w:t>、“十四五”时期学校发展的指导思想、发展定位、发展思路、发展目标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_Toc9984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（一）指导思想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_Toc27245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（二）发展定位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_Toc27245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_Toc30286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1.</w:t>
      </w:r>
      <w:r>
        <w:rPr>
          <w:rFonts w:hint="eastAsia" w:ascii="宋体" w:hAnsi="宋体" w:eastAsia="宋体" w:cs="宋体"/>
          <w:bCs/>
          <w:sz w:val="24"/>
          <w:szCs w:val="24"/>
        </w:rPr>
        <w:t>办学</w:t>
      </w:r>
      <w:r>
        <w:rPr>
          <w:rFonts w:hint="eastAsia" w:ascii="宋体" w:hAnsi="宋体" w:eastAsia="宋体" w:cs="宋体"/>
          <w:bCs/>
          <w:sz w:val="24"/>
          <w:szCs w:val="24"/>
          <w:lang w:eastAsia="zh-CN"/>
        </w:rPr>
        <w:t>总体</w:t>
      </w:r>
      <w:r>
        <w:rPr>
          <w:rFonts w:hint="eastAsia" w:ascii="宋体" w:hAnsi="宋体" w:eastAsia="宋体" w:cs="宋体"/>
          <w:bCs/>
          <w:sz w:val="24"/>
          <w:szCs w:val="24"/>
        </w:rPr>
        <w:t>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_Toc30286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_Toc10015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.发展目标定位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_Toc10015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_Toc21119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办学</w:t>
      </w:r>
      <w:r>
        <w:rPr>
          <w:rFonts w:hint="eastAsia" w:ascii="宋体" w:hAnsi="宋体" w:eastAsia="宋体" w:cs="宋体"/>
          <w:bCs/>
          <w:sz w:val="24"/>
          <w:szCs w:val="24"/>
        </w:rPr>
        <w:t>层次定位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_Toc21119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_Toc9563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4</w:t>
      </w:r>
      <w:r>
        <w:rPr>
          <w:rFonts w:hint="eastAsia" w:ascii="宋体" w:hAnsi="宋体" w:eastAsia="宋体" w:cs="宋体"/>
          <w:bCs/>
          <w:sz w:val="24"/>
          <w:szCs w:val="24"/>
        </w:rPr>
        <w:t>.培养目标定位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_Toc9563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_Toc17022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.学科专业定位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_Toc17022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_Toc11230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.服务面向定位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_Toc11230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_Toc26517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（三）发展思路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_Toc26517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_Toc24158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（四）发展目标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_Toc24158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_Toc2022 </w:instrText>
      </w:r>
      <w:r>
        <w:rPr>
          <w:rFonts w:hint="eastAsia" w:ascii="宋体" w:hAnsi="宋体" w:eastAsia="宋体" w:cs="宋体"/>
          <w:bCs/>
          <w:sz w:val="24"/>
          <w:szCs w:val="24"/>
          <w:lang w:val="en-US" w:eastAsia="zh-CN"/>
        </w:rPr>
        <w:fldChar w:fldCharType="separate"/>
      </w:r>
      <w:r>
        <w:rPr>
          <w:rFonts w:hint="eastAsia" w:ascii="宋体" w:hAnsi="宋体" w:eastAsia="宋体" w:cs="宋体"/>
          <w:kern w:val="0"/>
          <w:sz w:val="24"/>
          <w:szCs w:val="24"/>
          <w:lang w:val="en-US" w:eastAsia="zh-CN" w:bidi="ar"/>
        </w:rPr>
        <w:t>1.</w:t>
      </w:r>
      <w:r>
        <w:rPr>
          <w:rFonts w:hint="eastAsia" w:ascii="宋体" w:hAnsi="宋体" w:eastAsia="宋体" w:cs="宋体"/>
          <w:bCs/>
          <w:sz w:val="24"/>
          <w:szCs w:val="24"/>
          <w:lang w:val="en-US" w:eastAsia="zh-CN"/>
        </w:rPr>
        <w:t>“十四五”发展目标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000000" w:themeColor="text1"/>
          <w:sz w:val="24"/>
          <w:szCs w:val="24"/>
          <w:u w:val="none"/>
          <w:lang w:val="en-US" w:eastAsia="zh-CN"/>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_Toc10717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2. 中长期发展愿景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_Toc10717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_Toc13542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3.“十四五”主要发展指标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_Toc13542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_Toc8585 </w:instrText>
      </w:r>
      <w:r>
        <w:rPr>
          <w:rFonts w:hint="eastAsia" w:ascii="宋体" w:hAnsi="宋体" w:eastAsia="宋体" w:cs="宋体"/>
          <w:bCs/>
          <w:sz w:val="24"/>
          <w:szCs w:val="24"/>
          <w:lang w:val="en-US" w:eastAsia="zh-CN"/>
        </w:rPr>
        <w:fldChar w:fldCharType="separate"/>
      </w:r>
      <w:r>
        <w:rPr>
          <w:rFonts w:hint="eastAsia" w:ascii="宋体" w:hAnsi="宋体" w:eastAsia="宋体" w:cs="宋体"/>
          <w:b/>
          <w:bCs w:val="0"/>
          <w:sz w:val="24"/>
          <w:szCs w:val="24"/>
          <w:lang w:val="en-US" w:eastAsia="zh-CN"/>
        </w:rPr>
        <w:t>四、“十四五”期间学校发展的主要任务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_Toc8585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_Toc20951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（一）以高质量党建为引领，激发高质量发展新动力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_Toc20951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_Toc26617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1.加强学校领导班子建设，提升办学治校能力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_Toc26617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_Toc24313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2.加强干部队伍建设，提升干部队伍整体素质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_Toc24313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_Toc8200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3.加强基层党组织建设，强化党支部战斗堡垒作用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_Toc8200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_Toc7309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4.加强党风廉政建设，打造风清气正良好发展氛围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_Toc7309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_Toc14407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（二）以更新教育思想为前提，树立高质量发展新理念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_Toc23741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1.树立服务育人理念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_Toc23741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_Toc29017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2.树立需求导向办学理念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_Toc29017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_Toc12983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3.树立开放办学理念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_Toc12983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_Toc8571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sz w:val="24"/>
          <w:szCs w:val="24"/>
          <w:lang w:val="en-US" w:eastAsia="zh-CN"/>
        </w:rPr>
        <w:t>4.树立特色化办学理念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_Toc8571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_Toc27467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（三）以应用型学科专业建设为龙头，</w:t>
      </w:r>
      <w:r>
        <w:rPr>
          <w:rFonts w:hint="eastAsia" w:ascii="宋体" w:hAnsi="宋体" w:eastAsia="宋体" w:cs="宋体"/>
          <w:bCs/>
          <w:kern w:val="2"/>
          <w:sz w:val="24"/>
          <w:szCs w:val="24"/>
          <w:lang w:val="en-US" w:eastAsia="zh-CN" w:bidi="ar-SA"/>
        </w:rPr>
        <w:t>打造学科专业建设新格局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_Toc27467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_Toc32630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bCs/>
          <w:sz w:val="24"/>
          <w:szCs w:val="24"/>
          <w:lang w:val="en-US" w:eastAsia="zh-CN"/>
        </w:rPr>
        <w:t>优化专业布局</w:t>
      </w:r>
      <w:r>
        <w:rPr>
          <w:rFonts w:hint="eastAsia" w:ascii="宋体" w:hAnsi="宋体" w:eastAsia="宋体" w:cs="宋体"/>
          <w:bCs/>
          <w:sz w:val="24"/>
          <w:szCs w:val="24"/>
        </w:rPr>
        <w:t>，促进学科</w:t>
      </w:r>
      <w:r>
        <w:rPr>
          <w:rFonts w:hint="eastAsia" w:ascii="宋体" w:hAnsi="宋体" w:eastAsia="宋体" w:cs="宋体"/>
          <w:bCs/>
          <w:sz w:val="24"/>
          <w:szCs w:val="24"/>
          <w:lang w:eastAsia="zh-CN"/>
        </w:rPr>
        <w:t>专业可</w:t>
      </w:r>
      <w:r>
        <w:rPr>
          <w:rFonts w:hint="eastAsia" w:ascii="宋体" w:hAnsi="宋体" w:eastAsia="宋体" w:cs="宋体"/>
          <w:bCs/>
          <w:sz w:val="24"/>
          <w:szCs w:val="24"/>
        </w:rPr>
        <w:t>持续发展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_Toc32630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_Toc4692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2.</w:t>
      </w:r>
      <w:r>
        <w:rPr>
          <w:rFonts w:hint="eastAsia" w:ascii="宋体" w:hAnsi="宋体" w:eastAsia="宋体" w:cs="宋体"/>
          <w:sz w:val="24"/>
          <w:szCs w:val="24"/>
        </w:rPr>
        <w:t>强化</w:t>
      </w:r>
      <w:r>
        <w:rPr>
          <w:rFonts w:hint="eastAsia" w:ascii="宋体" w:hAnsi="宋体" w:eastAsia="宋体" w:cs="宋体"/>
          <w:sz w:val="24"/>
          <w:szCs w:val="24"/>
          <w:lang w:eastAsia="zh-CN"/>
        </w:rPr>
        <w:t>优势引领</w:t>
      </w:r>
      <w:r>
        <w:rPr>
          <w:rFonts w:hint="eastAsia" w:ascii="宋体" w:hAnsi="宋体" w:eastAsia="宋体" w:cs="宋体"/>
          <w:sz w:val="24"/>
          <w:szCs w:val="24"/>
        </w:rPr>
        <w:t>，</w:t>
      </w:r>
      <w:r>
        <w:rPr>
          <w:rFonts w:hint="eastAsia" w:ascii="宋体" w:hAnsi="宋体" w:eastAsia="宋体" w:cs="宋体"/>
          <w:sz w:val="24"/>
          <w:szCs w:val="24"/>
          <w:lang w:eastAsia="zh-CN"/>
        </w:rPr>
        <w:t>推进应用型学科专业集群</w:t>
      </w:r>
      <w:r>
        <w:rPr>
          <w:rFonts w:hint="eastAsia" w:ascii="宋体" w:hAnsi="宋体" w:eastAsia="宋体" w:cs="宋体"/>
          <w:sz w:val="24"/>
          <w:szCs w:val="24"/>
        </w:rPr>
        <w:t>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_Toc4692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_Toc16143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kern w:val="2"/>
          <w:sz w:val="24"/>
          <w:szCs w:val="24"/>
          <w:lang w:val="en-US" w:eastAsia="zh-CN" w:bidi="ar-SA"/>
        </w:rPr>
        <w:t>3.聚焦“金专”建设，重点打造一批精品专业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_Toc16143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_Toc20108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kern w:val="2"/>
          <w:sz w:val="24"/>
          <w:szCs w:val="24"/>
          <w:lang w:val="en-US" w:eastAsia="zh-CN" w:bidi="ar-SA"/>
        </w:rPr>
        <w:t>4.推进学科交融，夯实应用型学科专业基础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_Toc20108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_Toc19960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2"/>
          <w:sz w:val="24"/>
          <w:szCs w:val="24"/>
          <w:lang w:val="en-US" w:eastAsia="zh-CN" w:bidi="zh-CN"/>
        </w:rPr>
        <w:t>5.提升专业层次，择机启动硕士学位授予单位立项建设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_Toc19960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_Toc14652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eastAsia="zh-CN"/>
        </w:rPr>
        <w:t>（四）以</w:t>
      </w:r>
      <w:r>
        <w:rPr>
          <w:rFonts w:hint="eastAsia" w:ascii="宋体" w:hAnsi="宋体" w:eastAsia="宋体" w:cs="宋体"/>
          <w:sz w:val="24"/>
          <w:szCs w:val="24"/>
        </w:rPr>
        <w:t>深化</w:t>
      </w:r>
      <w:r>
        <w:rPr>
          <w:rFonts w:hint="eastAsia" w:ascii="宋体" w:hAnsi="宋体" w:eastAsia="宋体" w:cs="宋体"/>
          <w:sz w:val="24"/>
          <w:szCs w:val="24"/>
          <w:lang w:eastAsia="zh-CN"/>
        </w:rPr>
        <w:t>教学</w:t>
      </w:r>
      <w:r>
        <w:rPr>
          <w:rFonts w:hint="eastAsia" w:ascii="宋体" w:hAnsi="宋体" w:eastAsia="宋体" w:cs="宋体"/>
          <w:sz w:val="24"/>
          <w:szCs w:val="24"/>
        </w:rPr>
        <w:t>改革</w:t>
      </w:r>
      <w:r>
        <w:rPr>
          <w:rFonts w:hint="eastAsia" w:ascii="宋体" w:hAnsi="宋体" w:eastAsia="宋体" w:cs="宋体"/>
          <w:sz w:val="24"/>
          <w:szCs w:val="24"/>
          <w:lang w:eastAsia="zh-CN"/>
        </w:rPr>
        <w:t>为重点，提升人才培养质量新高度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_Toc8523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1.推进人才培养模式改革，提升应用型本科人才培养达成度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_Toc8523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_Toc30779 </w:instrText>
      </w:r>
      <w:r>
        <w:rPr>
          <w:rFonts w:hint="eastAsia" w:ascii="宋体" w:hAnsi="宋体" w:eastAsia="宋体" w:cs="宋体"/>
          <w:bCs/>
          <w:sz w:val="24"/>
          <w:szCs w:val="24"/>
          <w:lang w:val="en-US" w:eastAsia="zh-CN"/>
        </w:rPr>
        <w:fldChar w:fldCharType="separate"/>
      </w:r>
      <w:r>
        <w:rPr>
          <w:rFonts w:hint="eastAsia" w:ascii="宋体" w:hAnsi="宋体" w:eastAsia="宋体" w:cs="宋体"/>
          <w:kern w:val="0"/>
          <w:sz w:val="24"/>
          <w:szCs w:val="24"/>
          <w:lang w:val="en-US" w:eastAsia="zh-CN" w:bidi="ar"/>
        </w:rPr>
        <w:t>2.深化课程与教学改革，打造教学质量革命新亮点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_Toc30779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_Toc24578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val="0"/>
          <w:kern w:val="2"/>
          <w:sz w:val="24"/>
          <w:szCs w:val="24"/>
          <w:lang w:val="en-US" w:eastAsia="zh-CN" w:bidi="ar-SA"/>
        </w:rPr>
        <w:t>3.加强创新创业教育改革，提升学生创新创业意识新境界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_Toc24578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_Toc21783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2"/>
          <w:sz w:val="24"/>
          <w:szCs w:val="24"/>
          <w:lang w:val="en-US" w:eastAsia="zh-CN" w:bidi="zh-CN"/>
        </w:rPr>
        <w:t>4.优化教育资源配置，构建实践教学新体制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_Toc21783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_Toc23046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健全</w:t>
      </w:r>
      <w:r>
        <w:rPr>
          <w:rFonts w:hint="eastAsia" w:ascii="宋体" w:hAnsi="宋体" w:eastAsia="宋体" w:cs="宋体"/>
          <w:sz w:val="24"/>
          <w:szCs w:val="24"/>
          <w:lang w:eastAsia="zh-CN"/>
        </w:rPr>
        <w:t>立德树人机制</w:t>
      </w:r>
      <w:r>
        <w:rPr>
          <w:rFonts w:hint="eastAsia" w:ascii="宋体" w:hAnsi="宋体" w:eastAsia="宋体" w:cs="宋体"/>
          <w:sz w:val="24"/>
          <w:szCs w:val="24"/>
        </w:rPr>
        <w:t>，</w:t>
      </w:r>
      <w:r>
        <w:rPr>
          <w:rFonts w:hint="eastAsia" w:ascii="宋体" w:hAnsi="宋体" w:eastAsia="宋体" w:cs="宋体"/>
          <w:sz w:val="24"/>
          <w:szCs w:val="24"/>
          <w:lang w:eastAsia="zh-CN"/>
        </w:rPr>
        <w:t>建设育人质量新文化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_Toc23046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_Toc8803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（五）以完善引人用人机制为关键，打造高水平人才队伍建设新高地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_Toc8803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_Toc30913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1.</w:t>
      </w:r>
      <w:r>
        <w:rPr>
          <w:rFonts w:hint="eastAsia" w:ascii="宋体" w:hAnsi="宋体" w:eastAsia="宋体" w:cs="宋体"/>
          <w:bCs/>
          <w:kern w:val="0"/>
          <w:sz w:val="24"/>
          <w:szCs w:val="24"/>
          <w:lang w:eastAsia="zh-CN" w:bidi="ar"/>
        </w:rPr>
        <w:t>坚持</w:t>
      </w:r>
      <w:r>
        <w:rPr>
          <w:rFonts w:hint="eastAsia" w:ascii="宋体" w:hAnsi="宋体" w:eastAsia="宋体" w:cs="宋体"/>
          <w:bCs/>
          <w:kern w:val="0"/>
          <w:sz w:val="24"/>
          <w:szCs w:val="24"/>
          <w:lang w:val="en-US" w:eastAsia="zh-CN" w:bidi="ar"/>
        </w:rPr>
        <w:t>引育并举，实施人才</w:t>
      </w:r>
      <w:r>
        <w:rPr>
          <w:rFonts w:hint="eastAsia" w:ascii="宋体" w:hAnsi="宋体" w:eastAsia="宋体" w:cs="宋体"/>
          <w:bCs/>
          <w:kern w:val="0"/>
          <w:sz w:val="24"/>
          <w:szCs w:val="24"/>
          <w:lang w:eastAsia="zh-CN" w:bidi="ar"/>
        </w:rPr>
        <w:t>队伍</w:t>
      </w:r>
      <w:r>
        <w:rPr>
          <w:rFonts w:hint="eastAsia" w:ascii="宋体" w:hAnsi="宋体" w:eastAsia="宋体" w:cs="宋体"/>
          <w:bCs/>
          <w:kern w:val="0"/>
          <w:sz w:val="24"/>
          <w:szCs w:val="24"/>
          <w:lang w:val="en-US" w:eastAsia="zh-CN" w:bidi="ar"/>
        </w:rPr>
        <w:t>质量提升</w:t>
      </w:r>
      <w:r>
        <w:rPr>
          <w:rFonts w:hint="eastAsia" w:ascii="宋体" w:hAnsi="宋体" w:eastAsia="宋体" w:cs="宋体"/>
          <w:bCs/>
          <w:kern w:val="0"/>
          <w:sz w:val="24"/>
          <w:szCs w:val="24"/>
          <w:lang w:eastAsia="zh-CN" w:bidi="ar"/>
        </w:rPr>
        <w:t>工程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_Toc30913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000000" w:themeColor="text1"/>
          <w:sz w:val="24"/>
          <w:szCs w:val="24"/>
          <w:u w:val="none"/>
          <w:lang w:val="en-US" w:eastAsia="zh-CN"/>
          <w14:textFill>
            <w14:solidFill>
              <w14:schemeClr w14:val="tx1"/>
            </w14:solidFill>
          </w14:textFill>
        </w:rPr>
        <w:sectPr>
          <w:footerReference r:id="rId4" w:type="default"/>
          <w:pgSz w:w="11906" w:h="16838"/>
          <w:pgMar w:top="1440" w:right="1800" w:bottom="1440" w:left="1800" w:header="851" w:footer="992" w:gutter="0"/>
          <w:cols w:space="720" w:num="1"/>
          <w:docGrid w:type="lines" w:linePitch="312" w:charSpace="0"/>
        </w:sect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_Toc2163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2.</w:t>
      </w:r>
      <w:r>
        <w:rPr>
          <w:rFonts w:hint="eastAsia" w:ascii="宋体" w:hAnsi="宋体" w:eastAsia="宋体" w:cs="宋体"/>
          <w:bCs/>
          <w:kern w:val="0"/>
          <w:sz w:val="24"/>
          <w:szCs w:val="24"/>
          <w:lang w:eastAsia="zh-CN" w:bidi="ar"/>
        </w:rPr>
        <w:t>坚持</w:t>
      </w:r>
      <w:r>
        <w:rPr>
          <w:rFonts w:hint="eastAsia" w:ascii="宋体" w:hAnsi="宋体" w:eastAsia="宋体" w:cs="宋体"/>
          <w:bCs/>
          <w:kern w:val="0"/>
          <w:sz w:val="24"/>
          <w:szCs w:val="24"/>
          <w:lang w:val="en-US" w:eastAsia="zh-CN" w:bidi="ar"/>
        </w:rPr>
        <w:t>分类施策，优化配置各类人才资源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_Toc23831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3.</w:t>
      </w:r>
      <w:r>
        <w:rPr>
          <w:rFonts w:hint="eastAsia" w:ascii="宋体" w:hAnsi="宋体" w:eastAsia="宋体" w:cs="宋体"/>
          <w:bCs/>
          <w:kern w:val="0"/>
          <w:sz w:val="24"/>
          <w:szCs w:val="24"/>
          <w:lang w:eastAsia="zh-CN" w:bidi="ar"/>
        </w:rPr>
        <w:t>坚持</w:t>
      </w:r>
      <w:r>
        <w:rPr>
          <w:rFonts w:hint="eastAsia" w:ascii="宋体" w:hAnsi="宋体" w:eastAsia="宋体" w:cs="宋体"/>
          <w:bCs/>
          <w:kern w:val="0"/>
          <w:sz w:val="24"/>
          <w:szCs w:val="24"/>
          <w:lang w:val="en-US" w:eastAsia="zh-CN" w:bidi="ar"/>
        </w:rPr>
        <w:t>待遇激励，健全人事与分配改革制度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_Toc23831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_Toc1556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eastAsia="zh-CN"/>
        </w:rPr>
        <w:t>（六）以</w:t>
      </w:r>
      <w:r>
        <w:rPr>
          <w:rFonts w:hint="eastAsia" w:ascii="宋体" w:hAnsi="宋体" w:eastAsia="宋体" w:cs="宋体"/>
          <w:bCs/>
          <w:kern w:val="0"/>
          <w:sz w:val="24"/>
          <w:szCs w:val="24"/>
          <w:lang w:val="en-US" w:eastAsia="zh-CN" w:bidi="ar"/>
        </w:rPr>
        <w:t>行业产业</w:t>
      </w:r>
      <w:r>
        <w:rPr>
          <w:rFonts w:hint="eastAsia" w:ascii="宋体" w:hAnsi="宋体" w:eastAsia="宋体" w:cs="宋体"/>
          <w:sz w:val="24"/>
          <w:szCs w:val="24"/>
          <w:lang w:eastAsia="zh-CN"/>
        </w:rPr>
        <w:t>需求为导向</w:t>
      </w:r>
      <w:r>
        <w:rPr>
          <w:rFonts w:hint="eastAsia" w:ascii="宋体" w:hAnsi="宋体" w:eastAsia="宋体" w:cs="宋体"/>
          <w:sz w:val="24"/>
          <w:szCs w:val="24"/>
        </w:rPr>
        <w:t>，</w:t>
      </w:r>
      <w:r>
        <w:rPr>
          <w:rFonts w:hint="eastAsia" w:ascii="宋体" w:hAnsi="宋体" w:eastAsia="宋体" w:cs="宋体"/>
          <w:sz w:val="24"/>
          <w:szCs w:val="24"/>
          <w:lang w:eastAsia="zh-CN"/>
        </w:rPr>
        <w:t>实现社会服务能力新提升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_Toc8181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1.聚焦科技创新前沿，打造高水平科技创新人才团队新实力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_Toc8181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_Toc9316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2.聚焦持续创新能力，搭建科教协同育人新平台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_Toc9316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_Toc23505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3.聚焦区域发展战略，提升社会服务能力新标杆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_Toc23505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_Toc30347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4.聚焦科研水平提升，构建科技评价新体系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_Toc30347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_Toc30151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（七）以大学文化建设为灵魂，营造立德树人浓厚新氛围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_Toc30151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_Toc4740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1.加强思想政治教育，打造“三全育人”品牌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_Toc4740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_Toc23563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2.丰富校园文化载体，弘扬优良办学传统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_Toc23563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_Toc30491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3.共享文明创建成果，创建和谐平安校园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_Toc30491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_Toc596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（八）以推进管理体制改革为</w:t>
      </w:r>
      <w:r>
        <w:rPr>
          <w:rFonts w:hint="eastAsia" w:ascii="宋体" w:hAnsi="宋体" w:cs="宋体"/>
          <w:bCs/>
          <w:kern w:val="0"/>
          <w:sz w:val="24"/>
          <w:szCs w:val="24"/>
          <w:lang w:val="en-US" w:eastAsia="zh-CN" w:bidi="ar"/>
        </w:rPr>
        <w:t>动力</w:t>
      </w:r>
      <w:r>
        <w:rPr>
          <w:rFonts w:hint="eastAsia" w:ascii="宋体" w:hAnsi="宋体" w:eastAsia="宋体" w:cs="宋体"/>
          <w:bCs/>
          <w:kern w:val="0"/>
          <w:sz w:val="24"/>
          <w:szCs w:val="24"/>
          <w:lang w:val="en-US" w:eastAsia="zh-CN" w:bidi="ar"/>
        </w:rPr>
        <w:t>，构建现代大学治理能力提升新机制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_Toc19543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1.优化内部治理结构，打造高效运行机制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_Toc19543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_Toc26743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2.加强校院两级管理，激发学院办学活力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_Toc26743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_Toc11792 </w:instrText>
      </w:r>
      <w:r>
        <w:rPr>
          <w:rFonts w:hint="eastAsia" w:ascii="宋体" w:hAnsi="宋体" w:eastAsia="宋体" w:cs="宋体"/>
          <w:bCs/>
          <w:sz w:val="24"/>
          <w:szCs w:val="24"/>
          <w:lang w:val="en-US" w:eastAsia="zh-CN"/>
        </w:rPr>
        <w:fldChar w:fldCharType="separate"/>
      </w:r>
      <w:r>
        <w:rPr>
          <w:rFonts w:hint="eastAsia" w:ascii="宋体" w:hAnsi="宋体" w:eastAsia="宋体" w:cs="宋体"/>
          <w:b/>
          <w:bCs w:val="0"/>
          <w:kern w:val="0"/>
          <w:sz w:val="24"/>
          <w:szCs w:val="24"/>
          <w:lang w:val="en-US" w:eastAsia="zh-CN" w:bidi="ar"/>
        </w:rPr>
        <w:t>五、保障与实施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_Toc11792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_Toc13833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w:t>
      </w:r>
      <w:r>
        <w:rPr>
          <w:rFonts w:hint="eastAsia" w:ascii="宋体" w:hAnsi="宋体" w:eastAsia="宋体" w:cs="宋体"/>
          <w:sz w:val="24"/>
          <w:szCs w:val="24"/>
          <w:lang w:eastAsia="zh-CN"/>
        </w:rPr>
        <w:t>一</w:t>
      </w:r>
      <w:r>
        <w:rPr>
          <w:rFonts w:hint="eastAsia" w:ascii="宋体" w:hAnsi="宋体" w:eastAsia="宋体" w:cs="宋体"/>
          <w:sz w:val="24"/>
          <w:szCs w:val="24"/>
        </w:rPr>
        <w:t>）完善资源配置，强化条件保障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_Toc13833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_Toc24519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rPr>
        <w:t>1.加快教育信息化建设，打造</w:t>
      </w:r>
      <w:r>
        <w:rPr>
          <w:rFonts w:hint="eastAsia" w:ascii="宋体" w:hAnsi="宋体" w:cs="宋体"/>
          <w:bCs/>
          <w:color w:val="0000FF"/>
          <w:kern w:val="0"/>
          <w:sz w:val="24"/>
          <w:szCs w:val="24"/>
          <w:lang w:val="en-US" w:eastAsia="zh-CN"/>
        </w:rPr>
        <w:t>现代</w:t>
      </w:r>
      <w:r>
        <w:rPr>
          <w:rFonts w:hint="eastAsia" w:ascii="宋体" w:hAnsi="宋体" w:eastAsia="宋体" w:cs="宋体"/>
          <w:bCs/>
          <w:kern w:val="0"/>
          <w:sz w:val="24"/>
          <w:szCs w:val="24"/>
          <w:lang w:val="en-US" w:eastAsia="zh-CN"/>
        </w:rPr>
        <w:t>智慧校园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_Toc24519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_Toc31167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rPr>
        <w:t>2.推进校园基础建设，强化办学条件保障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_Toc4523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zh-CN"/>
        </w:rPr>
        <w:t>3.加大开放办学力度，积极拓展办学空间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_Toc4523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_Toc22046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ar"/>
        </w:rPr>
        <w:t>4.加强财务精细化管理，优化办学资源要素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_Toc22046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_Toc27413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rPr>
        <w:t>5.完善后勤服务保障体系，打造服务育人阵地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_Toc27413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_Toc12397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完善实施体系，强化组织保障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_Toc12397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_Toc4637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1.</w:t>
      </w:r>
      <w:r>
        <w:rPr>
          <w:rFonts w:hint="eastAsia" w:ascii="宋体" w:hAnsi="宋体" w:eastAsia="宋体" w:cs="宋体"/>
          <w:sz w:val="24"/>
          <w:szCs w:val="24"/>
        </w:rPr>
        <w:t>建立规划组织体系，</w:t>
      </w:r>
      <w:r>
        <w:rPr>
          <w:rFonts w:hint="eastAsia" w:ascii="宋体" w:hAnsi="宋体" w:eastAsia="宋体" w:cs="宋体"/>
          <w:sz w:val="24"/>
          <w:szCs w:val="24"/>
          <w:lang w:eastAsia="zh-CN"/>
        </w:rPr>
        <w:t>做好任务分解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_Toc4637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_Toc23696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zh-CN"/>
        </w:rPr>
        <w:t>2.健全目标评估考核，加强督导实施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_Toc23696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_Toc24732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kern w:val="0"/>
          <w:sz w:val="24"/>
          <w:szCs w:val="24"/>
          <w:lang w:val="en-US" w:eastAsia="zh-CN" w:bidi="zh-CN"/>
        </w:rPr>
        <w:t>3.明确规划先导地位，强化资金保障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_Toc24732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begin"/>
      </w:r>
      <w:r>
        <w:rPr>
          <w:rFonts w:hint="eastAsia" w:ascii="宋体" w:hAnsi="宋体" w:eastAsia="宋体" w:cs="宋体"/>
          <w:bCs/>
          <w:sz w:val="24"/>
          <w:szCs w:val="24"/>
          <w:lang w:val="en-US" w:eastAsia="zh-CN"/>
        </w:rPr>
        <w:instrText xml:space="preserve"> HYPERLINK \l _Toc21627 </w:instrText>
      </w:r>
      <w:r>
        <w:rPr>
          <w:rFonts w:hint="eastAsia" w:ascii="宋体" w:hAnsi="宋体" w:eastAsia="宋体" w:cs="宋体"/>
          <w:bCs/>
          <w:sz w:val="24"/>
          <w:szCs w:val="24"/>
          <w:lang w:val="en-US" w:eastAsia="zh-CN"/>
        </w:rPr>
        <w:fldChar w:fldCharType="separate"/>
      </w:r>
      <w:r>
        <w:rPr>
          <w:rFonts w:hint="eastAsia" w:ascii="宋体" w:hAnsi="宋体" w:eastAsia="宋体" w:cs="宋体"/>
          <w:b/>
          <w:bCs w:val="0"/>
          <w:kern w:val="0"/>
          <w:sz w:val="24"/>
          <w:szCs w:val="24"/>
          <w:lang w:val="en-US" w:eastAsia="zh-CN"/>
        </w:rPr>
        <w:t>附录：信阳农林学院“十四五”主要发展指标对照一览表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_Toc21627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000000" w:themeColor="text1"/>
          <w:sz w:val="24"/>
          <w:szCs w:val="24"/>
          <w:u w:val="none"/>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val="0"/>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8"/>
          <w:szCs w:val="48"/>
          <w:u w:val="none"/>
          <w:lang w:eastAsia="zh-CN"/>
          <w14:textFill>
            <w14:solidFill>
              <w14:schemeClr w14:val="tx1"/>
            </w14:solidFill>
          </w14:textFill>
        </w:rPr>
        <w:t>信阳农林</w:t>
      </w:r>
      <w:r>
        <w:rPr>
          <w:rFonts w:hint="eastAsia" w:ascii="方正小标宋简体" w:hAnsi="方正小标宋简体" w:eastAsia="方正小标宋简体" w:cs="方正小标宋简体"/>
          <w:b/>
          <w:bCs/>
          <w:color w:val="000000" w:themeColor="text1"/>
          <w:sz w:val="48"/>
          <w:szCs w:val="48"/>
          <w:u w:val="none"/>
          <w14:textFill>
            <w14:solidFill>
              <w14:schemeClr w14:val="tx1"/>
            </w14:solidFill>
          </w14:textFill>
        </w:rPr>
        <w:t>学院</w:t>
      </w:r>
      <w:r>
        <w:rPr>
          <w:rFonts w:hint="eastAsia" w:ascii="方正小标宋简体" w:hAnsi="方正小标宋简体" w:eastAsia="方正小标宋简体" w:cs="方正小标宋简体"/>
          <w:b/>
          <w:bCs/>
          <w:color w:val="000000" w:themeColor="text1"/>
          <w:sz w:val="48"/>
          <w:szCs w:val="48"/>
          <w:u w:val="none"/>
          <w:lang w:eastAsia="zh-CN"/>
          <w14:textFill>
            <w14:solidFill>
              <w14:schemeClr w14:val="tx1"/>
            </w14:solidFill>
          </w14:textFill>
        </w:rPr>
        <w:t>“十四五”事业</w:t>
      </w:r>
      <w:r>
        <w:rPr>
          <w:rFonts w:hint="eastAsia" w:ascii="方正小标宋简体" w:hAnsi="方正小标宋简体" w:eastAsia="方正小标宋简体" w:cs="方正小标宋简体"/>
          <w:b/>
          <w:bCs/>
          <w:color w:val="000000" w:themeColor="text1"/>
          <w:sz w:val="48"/>
          <w:szCs w:val="48"/>
          <w:u w:val="none"/>
          <w14:textFill>
            <w14:solidFill>
              <w14:schemeClr w14:val="tx1"/>
            </w14:solidFill>
          </w14:textFill>
        </w:rPr>
        <w:t>发展规划</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ascii="仿宋" w:hAnsi="仿宋" w:eastAsia="仿宋" w:cs="仿宋"/>
          <w:color w:val="000000" w:themeColor="text1"/>
          <w:spacing w:val="7"/>
          <w:sz w:val="30"/>
          <w:szCs w:val="30"/>
          <w14:textFill>
            <w14:solidFill>
              <w14:schemeClr w14:val="tx1"/>
            </w14:solidFill>
          </w14:textFill>
        </w:rPr>
      </w:pPr>
      <w:r>
        <w:rPr>
          <w:rFonts w:hint="eastAsia" w:ascii="仿宋" w:hAnsi="仿宋" w:eastAsia="仿宋" w:cs="仿宋"/>
          <w:b/>
          <w:bCs w:val="0"/>
          <w:color w:val="000000" w:themeColor="text1"/>
          <w:sz w:val="36"/>
          <w:szCs w:val="36"/>
          <w:u w:val="none"/>
          <w:lang w:eastAsia="zh-CN"/>
          <w14:textFill>
            <w14:solidFill>
              <w14:schemeClr w14:val="tx1"/>
            </w14:solidFill>
          </w14:textFill>
        </w:rPr>
        <w:t>（征求意见稿）</w:t>
      </w:r>
    </w:p>
    <w:p>
      <w:pPr>
        <w:pStyle w:val="6"/>
        <w:keepNext w:val="0"/>
        <w:keepLines w:val="0"/>
        <w:pageBreakBefore w:val="0"/>
        <w:kinsoku/>
        <w:wordWrap/>
        <w:overflowPunct/>
        <w:topLinePunct w:val="0"/>
        <w:autoSpaceDE/>
        <w:autoSpaceDN/>
        <w:bidi w:val="0"/>
        <w:adjustRightInd/>
        <w:snapToGrid/>
        <w:spacing w:line="520" w:lineRule="exact"/>
        <w:ind w:firstLine="628" w:firstLineChars="200"/>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十四五”时期，是我省开启全面建设社会主义现代化河南新征程、谱写新时代中原更加出彩绚丽篇章的关键期，是推动教育高质量发展、加快由教育大省向强省的转型攻坚期。为贯彻落实全国、省教育大会精神，深入贯彻落实习近平总书记关于高等教育的重要论述和视察河南重要指示精神，</w:t>
      </w:r>
      <w:r>
        <w:rPr>
          <w:rFonts w:hint="eastAsia" w:ascii="仿宋" w:hAnsi="仿宋" w:eastAsia="仿宋" w:cs="仿宋"/>
          <w:color w:val="0000FF"/>
          <w:spacing w:val="7"/>
          <w:kern w:val="2"/>
          <w:sz w:val="30"/>
          <w:szCs w:val="30"/>
          <w:u w:val="none"/>
          <w:lang w:val="en-US" w:eastAsia="zh-CN" w:bidi="ar-SA"/>
        </w:rPr>
        <w:t>根据《河南教育现代化2035》的总体部署，以及《河南省教育事业发展“十四五”规划》和《信阳农林学院章程》等有关精神</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，推动学校“十四五”时期高质量发展，建设</w:t>
      </w:r>
      <w:r>
        <w:rPr>
          <w:rFonts w:hint="eastAsia" w:ascii="仿宋" w:hAnsi="仿宋" w:eastAsia="仿宋" w:cs="仿宋"/>
          <w:color w:val="FF0000"/>
          <w:spacing w:val="7"/>
          <w:kern w:val="2"/>
          <w:sz w:val="30"/>
          <w:szCs w:val="30"/>
          <w:u w:val="none"/>
          <w:lang w:val="en-US" w:eastAsia="zh-CN" w:bidi="ar-SA"/>
        </w:rPr>
        <w:t>特色鲜明的农林类应用型本科高校，</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制定本规划。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outlineLvl w:val="0"/>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0" w:name="_Toc10313"/>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一、“十三五”期间学校改革发展主要成就</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8" w:firstLineChars="200"/>
        <w:jc w:val="both"/>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近年来，学校党委、校行政充分发挥“十三五”规划的引领作用，认真贯彻落实第一次党代会精神，紧紧依靠全体师生员工，坚持目标导向与问题导向相结合，持续深化改革创新，在人才培养、科学研究、社会服务、文化传承创新、国际合作交流等方面取得了显著成绩。</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1" w:name="_Toc11759"/>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人才培养结构不断优化，</w:t>
      </w:r>
      <w:r>
        <w:rPr>
          <w:rFonts w:hint="eastAsia" w:ascii="仿宋" w:hAnsi="仿宋" w:eastAsia="仿宋" w:cs="仿宋"/>
          <w:b/>
          <w:bCs/>
          <w:color w:val="0000FF"/>
          <w:spacing w:val="7"/>
          <w:kern w:val="2"/>
          <w:sz w:val="30"/>
          <w:szCs w:val="30"/>
          <w:u w:val="none"/>
          <w:lang w:val="en-US" w:eastAsia="zh-CN" w:bidi="ar-SA"/>
        </w:rPr>
        <w:t>人才</w:t>
      </w:r>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培养质量持续提升</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8" w:firstLineChars="200"/>
        <w:jc w:val="both"/>
        <w:textAlignment w:val="auto"/>
        <w:outlineLvl w:val="1"/>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bookmarkStart w:id="2" w:name="_Toc32301"/>
      <w:bookmarkStart w:id="3" w:name="_Toc3864"/>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在校生规模</w:t>
      </w:r>
      <w:r>
        <w:rPr>
          <w:rFonts w:hint="eastAsia" w:ascii="仿宋" w:hAnsi="仿宋" w:eastAsia="仿宋" w:cs="仿宋"/>
          <w:color w:val="0000FF"/>
          <w:spacing w:val="7"/>
          <w:kern w:val="2"/>
          <w:sz w:val="30"/>
          <w:szCs w:val="30"/>
          <w:u w:val="none"/>
          <w:lang w:val="en-US" w:eastAsia="zh-CN" w:bidi="ar-SA"/>
        </w:rPr>
        <w:t>持续</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增长，普通本科在校生规模增长较快，年均增长率为37.7%，专科生规模逐步缩小。截至2020年底，全日制在校生规模为17336人，普通本科生 14189人，专科生3147人。主动对接区域行业产业发展需求和新农科建设要求，</w:t>
      </w:r>
      <w:r>
        <w:rPr>
          <w:rFonts w:hint="eastAsia" w:ascii="仿宋" w:hAnsi="仿宋" w:eastAsia="仿宋" w:cs="仿宋"/>
          <w:color w:val="0000FF"/>
          <w:spacing w:val="7"/>
          <w:kern w:val="2"/>
          <w:sz w:val="30"/>
          <w:szCs w:val="30"/>
          <w:u w:val="none"/>
          <w:lang w:val="en-US" w:eastAsia="zh-CN" w:bidi="ar-SA"/>
        </w:rPr>
        <w:t>教育理念不断更</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新，人才培养方案不断完善，</w:t>
      </w:r>
      <w:r>
        <w:rPr>
          <w:rFonts w:hint="eastAsia" w:ascii="仿宋" w:hAnsi="仿宋" w:eastAsia="仿宋" w:cs="仿宋"/>
          <w:color w:val="0000FF"/>
          <w:spacing w:val="7"/>
          <w:kern w:val="2"/>
          <w:sz w:val="30"/>
          <w:szCs w:val="30"/>
          <w:u w:val="none"/>
          <w:lang w:val="en-US" w:eastAsia="zh-CN" w:bidi="ar-SA"/>
        </w:rPr>
        <w:t>产学</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研合作持续深化，协同育人深入推进，为社会输送各类人才13000余人，毕业生年终就业率保持在93%以上。</w:t>
      </w:r>
      <w:bookmarkEnd w:id="2"/>
      <w:bookmarkEnd w:id="3"/>
    </w:p>
    <w:p>
      <w:pPr>
        <w:keepNext w:val="0"/>
        <w:keepLines w:val="0"/>
        <w:pageBreakBefore w:val="0"/>
        <w:numPr>
          <w:ilvl w:val="0"/>
          <w:numId w:val="1"/>
        </w:numPr>
        <w:kinsoku/>
        <w:wordWrap/>
        <w:overflowPunct/>
        <w:topLinePunct w:val="0"/>
        <w:autoSpaceDE/>
        <w:autoSpaceDN/>
        <w:bidi w:val="0"/>
        <w:adjustRightInd/>
        <w:snapToGrid/>
        <w:spacing w:line="520" w:lineRule="exact"/>
        <w:ind w:left="2" w:leftChars="0" w:firstLine="628" w:firstLineChars="0"/>
        <w:textAlignment w:val="auto"/>
        <w:outlineLvl w:val="1"/>
        <w:rPr>
          <w:rFonts w:hint="eastAsia" w:ascii="仿宋" w:hAnsi="仿宋" w:eastAsia="仿宋" w:cs="仿宋"/>
          <w:b/>
          <w:bCs/>
          <w:color w:val="0000FF"/>
          <w:spacing w:val="7"/>
          <w:kern w:val="2"/>
          <w:sz w:val="30"/>
          <w:szCs w:val="30"/>
          <w:u w:val="none"/>
          <w:lang w:val="en-US" w:eastAsia="zh-CN" w:bidi="ar-SA"/>
        </w:rPr>
      </w:pPr>
      <w:bookmarkStart w:id="4" w:name="_Toc18045"/>
      <w:r>
        <w:rPr>
          <w:rFonts w:hint="eastAsia" w:ascii="仿宋" w:hAnsi="仿宋" w:eastAsia="仿宋" w:cs="仿宋"/>
          <w:b/>
          <w:bCs/>
          <w:color w:val="0000FF"/>
          <w:spacing w:val="7"/>
          <w:kern w:val="2"/>
          <w:sz w:val="30"/>
          <w:szCs w:val="30"/>
          <w:u w:val="none"/>
          <w:lang w:val="en-US" w:eastAsia="zh-CN" w:bidi="ar-SA"/>
        </w:rPr>
        <w:t>学科专业体系持续完善</w:t>
      </w:r>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w:t>
      </w:r>
      <w:r>
        <w:rPr>
          <w:rFonts w:hint="eastAsia" w:ascii="仿宋" w:hAnsi="仿宋" w:eastAsia="仿宋" w:cs="仿宋"/>
          <w:b/>
          <w:bCs/>
          <w:color w:val="0000FF"/>
          <w:spacing w:val="7"/>
          <w:kern w:val="2"/>
          <w:sz w:val="30"/>
          <w:szCs w:val="30"/>
          <w:u w:val="none"/>
          <w:lang w:val="en-US" w:eastAsia="zh-CN" w:bidi="ar-SA"/>
        </w:rPr>
        <w:t>教育教学改革走向深入</w:t>
      </w:r>
      <w:bookmarkEnd w:id="4"/>
    </w:p>
    <w:p>
      <w:pPr>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outlineLvl w:val="2"/>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bookmarkStart w:id="5" w:name="_Toc15389"/>
      <w:r>
        <w:rPr>
          <w:rFonts w:hint="eastAsia" w:ascii="华文仿宋" w:hAnsi="华文仿宋" w:eastAsia="华文仿宋" w:cs="华文仿宋"/>
          <w:color w:val="0000FF"/>
          <w:sz w:val="30"/>
          <w:szCs w:val="30"/>
        </w:rPr>
        <w:t>坚持</w:t>
      </w:r>
      <w:r>
        <w:rPr>
          <w:rFonts w:hint="eastAsia" w:ascii="华文仿宋" w:hAnsi="华文仿宋" w:eastAsia="华文仿宋" w:cs="华文仿宋"/>
          <w:color w:val="0000FF"/>
          <w:sz w:val="30"/>
          <w:szCs w:val="30"/>
          <w:lang w:eastAsia="zh-CN"/>
        </w:rPr>
        <w:t>教学工作的中心地位</w:t>
      </w:r>
      <w:r>
        <w:rPr>
          <w:rFonts w:hint="eastAsia" w:ascii="华文仿宋" w:hAnsi="华文仿宋" w:eastAsia="华文仿宋" w:cs="华文仿宋"/>
          <w:color w:val="0000FF"/>
          <w:sz w:val="30"/>
          <w:szCs w:val="30"/>
        </w:rPr>
        <w:t>，大力实施“专业与课程质量建设工程”，“教学质量提升工程”，构建校企互动的专业建设机制，体现学校办学特色的应用型学科专业体系</w:t>
      </w:r>
      <w:r>
        <w:rPr>
          <w:rFonts w:hint="eastAsia" w:ascii="华文仿宋" w:hAnsi="华文仿宋" w:eastAsia="华文仿宋" w:cs="华文仿宋"/>
          <w:color w:val="0000FF"/>
          <w:sz w:val="30"/>
          <w:szCs w:val="30"/>
          <w:lang w:eastAsia="zh-CN"/>
        </w:rPr>
        <w:t>日趋</w:t>
      </w:r>
      <w:r>
        <w:rPr>
          <w:rFonts w:hint="eastAsia" w:ascii="华文仿宋" w:hAnsi="华文仿宋" w:eastAsia="华文仿宋" w:cs="华文仿宋"/>
          <w:color w:val="0000FF"/>
          <w:sz w:val="30"/>
          <w:szCs w:val="30"/>
        </w:rPr>
        <w:t>完善，校企合作产教融合力度不断提升，人才培养与社会需求和办学定位的吻合度不断提高，农林特色更加鲜明。“十三五”期间，学校新增种子科学与工程、园林、城乡规划</w:t>
      </w:r>
      <w:r>
        <w:rPr>
          <w:rFonts w:hint="eastAsia" w:ascii="华文仿宋" w:hAnsi="华文仿宋" w:eastAsia="华文仿宋" w:cs="华文仿宋"/>
          <w:sz w:val="30"/>
          <w:szCs w:val="30"/>
        </w:rPr>
        <w:t>等</w:t>
      </w:r>
      <w:r>
        <w:rPr>
          <w:rFonts w:ascii="华文仿宋" w:hAnsi="华文仿宋" w:eastAsia="华文仿宋" w:cs="华文仿宋"/>
          <w:sz w:val="30"/>
          <w:szCs w:val="30"/>
        </w:rPr>
        <w:t>24</w:t>
      </w:r>
      <w:r>
        <w:rPr>
          <w:rFonts w:hint="eastAsia" w:ascii="华文仿宋" w:hAnsi="华文仿宋" w:eastAsia="华文仿宋" w:cs="华文仿宋"/>
          <w:sz w:val="30"/>
          <w:szCs w:val="30"/>
        </w:rPr>
        <w:t>个本科专业，本科专业达到</w:t>
      </w:r>
      <w:r>
        <w:rPr>
          <w:rFonts w:ascii="华文仿宋" w:hAnsi="华文仿宋" w:eastAsia="华文仿宋" w:cs="华文仿宋"/>
          <w:sz w:val="30"/>
          <w:szCs w:val="30"/>
        </w:rPr>
        <w:t>37</w:t>
      </w:r>
      <w:r>
        <w:rPr>
          <w:rFonts w:hint="eastAsia" w:ascii="华文仿宋" w:hAnsi="华文仿宋" w:eastAsia="华文仿宋" w:cs="华文仿宋"/>
          <w:sz w:val="30"/>
          <w:szCs w:val="30"/>
        </w:rPr>
        <w:t>个。其中农学、工学专业各有</w:t>
      </w:r>
      <w:r>
        <w:rPr>
          <w:rFonts w:ascii="华文仿宋" w:hAnsi="华文仿宋" w:eastAsia="华文仿宋" w:cs="华文仿宋"/>
          <w:sz w:val="30"/>
          <w:szCs w:val="30"/>
        </w:rPr>
        <w:t>11</w:t>
      </w:r>
      <w:r>
        <w:rPr>
          <w:rFonts w:hint="eastAsia" w:ascii="华文仿宋" w:hAnsi="华文仿宋" w:eastAsia="华文仿宋" w:cs="华文仿宋"/>
          <w:sz w:val="30"/>
          <w:szCs w:val="30"/>
        </w:rPr>
        <w:t>个，管理学专业</w:t>
      </w:r>
      <w:r>
        <w:rPr>
          <w:rFonts w:ascii="华文仿宋" w:hAnsi="华文仿宋" w:eastAsia="华文仿宋" w:cs="华文仿宋"/>
          <w:sz w:val="30"/>
          <w:szCs w:val="30"/>
        </w:rPr>
        <w:t>9</w:t>
      </w:r>
      <w:r>
        <w:rPr>
          <w:rFonts w:hint="eastAsia" w:ascii="华文仿宋" w:hAnsi="华文仿宋" w:eastAsia="华文仿宋" w:cs="华文仿宋"/>
          <w:sz w:val="30"/>
          <w:szCs w:val="30"/>
        </w:rPr>
        <w:t>个，艺术学、文学</w:t>
      </w:r>
      <w:r>
        <w:rPr>
          <w:rFonts w:ascii="华文仿宋" w:hAnsi="华文仿宋" w:eastAsia="华文仿宋" w:cs="华文仿宋"/>
          <w:sz w:val="30"/>
          <w:szCs w:val="30"/>
        </w:rPr>
        <w:t xml:space="preserve"> </w:t>
      </w:r>
      <w:r>
        <w:rPr>
          <w:rFonts w:hint="eastAsia" w:ascii="华文仿宋" w:hAnsi="华文仿宋" w:eastAsia="华文仿宋" w:cs="华文仿宋"/>
          <w:sz w:val="30"/>
          <w:szCs w:val="30"/>
        </w:rPr>
        <w:t>、理学专业各</w:t>
      </w:r>
      <w:r>
        <w:rPr>
          <w:rFonts w:ascii="华文仿宋" w:hAnsi="华文仿宋" w:eastAsia="华文仿宋" w:cs="华文仿宋"/>
          <w:sz w:val="30"/>
          <w:szCs w:val="30"/>
        </w:rPr>
        <w:t>2</w:t>
      </w:r>
      <w:r>
        <w:rPr>
          <w:rFonts w:hint="eastAsia" w:ascii="华文仿宋" w:hAnsi="华文仿宋" w:eastAsia="华文仿宋" w:cs="华文仿宋"/>
          <w:sz w:val="30"/>
          <w:szCs w:val="30"/>
        </w:rPr>
        <w:t>个。有省级重点培育学科</w:t>
      </w:r>
      <w:r>
        <w:rPr>
          <w:rFonts w:ascii="华文仿宋" w:hAnsi="华文仿宋" w:eastAsia="华文仿宋" w:cs="华文仿宋"/>
          <w:sz w:val="30"/>
          <w:szCs w:val="30"/>
        </w:rPr>
        <w:t>1</w:t>
      </w:r>
      <w:r>
        <w:rPr>
          <w:rFonts w:hint="eastAsia" w:ascii="华文仿宋" w:hAnsi="华文仿宋" w:eastAsia="华文仿宋" w:cs="华文仿宋"/>
          <w:sz w:val="30"/>
          <w:szCs w:val="30"/>
        </w:rPr>
        <w:t>项，省级以上特色优势专业</w:t>
      </w:r>
      <w:r>
        <w:rPr>
          <w:rFonts w:ascii="华文仿宋" w:hAnsi="华文仿宋" w:eastAsia="华文仿宋" w:cs="华文仿宋"/>
          <w:sz w:val="30"/>
          <w:szCs w:val="30"/>
        </w:rPr>
        <w:t>15</w:t>
      </w:r>
      <w:r>
        <w:rPr>
          <w:rFonts w:hint="eastAsia" w:ascii="华文仿宋" w:hAnsi="华文仿宋" w:eastAsia="华文仿宋" w:cs="华文仿宋"/>
          <w:sz w:val="30"/>
          <w:szCs w:val="30"/>
        </w:rPr>
        <w:t>个，省级专业综合改革试点项目</w:t>
      </w:r>
      <w:r>
        <w:rPr>
          <w:rFonts w:ascii="华文仿宋" w:hAnsi="华文仿宋" w:eastAsia="华文仿宋" w:cs="华文仿宋"/>
          <w:sz w:val="30"/>
          <w:szCs w:val="30"/>
        </w:rPr>
        <w:t>3</w:t>
      </w:r>
      <w:r>
        <w:rPr>
          <w:rFonts w:hint="eastAsia" w:ascii="华文仿宋" w:hAnsi="华文仿宋" w:eastAsia="华文仿宋" w:cs="华文仿宋"/>
          <w:sz w:val="30"/>
          <w:szCs w:val="30"/>
        </w:rPr>
        <w:t>个（茶学、植物保护、林学）。课程与教学改革深入推进、效果明显，</w:t>
      </w:r>
      <w:r>
        <w:rPr>
          <w:rFonts w:hint="eastAsia" w:ascii="华文仿宋" w:hAnsi="华文仿宋" w:eastAsia="华文仿宋" w:cs="华文仿宋"/>
          <w:sz w:val="30"/>
          <w:szCs w:val="30"/>
          <w:lang w:eastAsia="zh-CN"/>
        </w:rPr>
        <w:t>建</w:t>
      </w:r>
      <w:r>
        <w:rPr>
          <w:rFonts w:hint="eastAsia" w:ascii="华文仿宋" w:hAnsi="华文仿宋" w:eastAsia="华文仿宋" w:cs="华文仿宋"/>
          <w:sz w:val="30"/>
          <w:szCs w:val="30"/>
        </w:rPr>
        <w:t>有河南省精品课程</w:t>
      </w:r>
      <w:r>
        <w:rPr>
          <w:rFonts w:ascii="华文仿宋" w:hAnsi="华文仿宋" w:eastAsia="华文仿宋" w:cs="华文仿宋"/>
          <w:sz w:val="30"/>
          <w:szCs w:val="30"/>
        </w:rPr>
        <w:t>7</w:t>
      </w:r>
      <w:r>
        <w:rPr>
          <w:rFonts w:hint="eastAsia" w:ascii="华文仿宋" w:hAnsi="华文仿宋" w:eastAsia="华文仿宋" w:cs="华文仿宋"/>
          <w:sz w:val="30"/>
          <w:szCs w:val="30"/>
        </w:rPr>
        <w:t>门、精品资源课程</w:t>
      </w:r>
      <w:r>
        <w:rPr>
          <w:rFonts w:ascii="华文仿宋" w:hAnsi="华文仿宋" w:eastAsia="华文仿宋" w:cs="华文仿宋"/>
          <w:sz w:val="30"/>
          <w:szCs w:val="30"/>
        </w:rPr>
        <w:t>2</w:t>
      </w:r>
      <w:r>
        <w:rPr>
          <w:rFonts w:hint="eastAsia" w:ascii="华文仿宋" w:hAnsi="华文仿宋" w:eastAsia="华文仿宋" w:cs="华文仿宋"/>
          <w:sz w:val="30"/>
          <w:szCs w:val="30"/>
        </w:rPr>
        <w:t>门、精品在线开放课程</w:t>
      </w:r>
      <w:r>
        <w:rPr>
          <w:rFonts w:ascii="华文仿宋" w:hAnsi="华文仿宋" w:eastAsia="华文仿宋" w:cs="华文仿宋"/>
          <w:sz w:val="30"/>
          <w:szCs w:val="30"/>
        </w:rPr>
        <w:t>4</w:t>
      </w:r>
      <w:r>
        <w:rPr>
          <w:rFonts w:hint="eastAsia" w:ascii="华文仿宋" w:hAnsi="华文仿宋" w:eastAsia="华文仿宋" w:cs="华文仿宋"/>
          <w:sz w:val="30"/>
          <w:szCs w:val="30"/>
        </w:rPr>
        <w:t>门，省级虚拟仿真实验教学建设项目</w:t>
      </w:r>
      <w:r>
        <w:rPr>
          <w:rFonts w:ascii="华文仿宋" w:hAnsi="华文仿宋" w:eastAsia="华文仿宋" w:cs="华文仿宋"/>
          <w:sz w:val="30"/>
          <w:szCs w:val="30"/>
        </w:rPr>
        <w:t>1</w:t>
      </w:r>
      <w:r>
        <w:rPr>
          <w:rFonts w:hint="eastAsia" w:ascii="华文仿宋" w:hAnsi="华文仿宋" w:eastAsia="华文仿宋" w:cs="华文仿宋"/>
          <w:sz w:val="30"/>
          <w:szCs w:val="30"/>
        </w:rPr>
        <w:t>个。省级一流本科专业建设点</w:t>
      </w:r>
      <w:r>
        <w:rPr>
          <w:rFonts w:ascii="华文仿宋" w:hAnsi="华文仿宋" w:eastAsia="华文仿宋" w:cs="华文仿宋"/>
          <w:sz w:val="30"/>
          <w:szCs w:val="30"/>
        </w:rPr>
        <w:t>4</w:t>
      </w:r>
      <w:r>
        <w:rPr>
          <w:rFonts w:hint="eastAsia" w:ascii="华文仿宋" w:hAnsi="华文仿宋" w:eastAsia="华文仿宋" w:cs="华文仿宋"/>
          <w:sz w:val="30"/>
          <w:szCs w:val="30"/>
        </w:rPr>
        <w:t>个、一流本科课程</w:t>
      </w:r>
      <w:r>
        <w:rPr>
          <w:rFonts w:ascii="华文仿宋" w:hAnsi="华文仿宋" w:eastAsia="华文仿宋" w:cs="华文仿宋"/>
          <w:sz w:val="30"/>
          <w:szCs w:val="30"/>
        </w:rPr>
        <w:t>4</w:t>
      </w:r>
      <w:r>
        <w:rPr>
          <w:rFonts w:hint="eastAsia" w:ascii="华文仿宋" w:hAnsi="华文仿宋" w:eastAsia="华文仿宋" w:cs="华文仿宋"/>
          <w:sz w:val="30"/>
          <w:szCs w:val="30"/>
        </w:rPr>
        <w:t>门。近五年来获省级新农科、新工科建设项目</w:t>
      </w:r>
      <w:r>
        <w:rPr>
          <w:rFonts w:ascii="华文仿宋" w:hAnsi="华文仿宋" w:eastAsia="华文仿宋" w:cs="华文仿宋"/>
          <w:sz w:val="30"/>
          <w:szCs w:val="30"/>
        </w:rPr>
        <w:t>4</w:t>
      </w:r>
      <w:r>
        <w:rPr>
          <w:rFonts w:hint="eastAsia" w:ascii="华文仿宋" w:hAnsi="华文仿宋" w:eastAsia="华文仿宋" w:cs="华文仿宋"/>
          <w:sz w:val="30"/>
          <w:szCs w:val="30"/>
        </w:rPr>
        <w:t>项，省级教学成果</w:t>
      </w:r>
      <w:r>
        <w:rPr>
          <w:rFonts w:ascii="华文仿宋" w:hAnsi="华文仿宋" w:eastAsia="华文仿宋" w:cs="华文仿宋"/>
          <w:sz w:val="30"/>
          <w:szCs w:val="30"/>
        </w:rPr>
        <w:t>6</w:t>
      </w:r>
      <w:r>
        <w:rPr>
          <w:rFonts w:hint="eastAsia" w:ascii="华文仿宋" w:hAnsi="华文仿宋" w:eastAsia="华文仿宋" w:cs="华文仿宋"/>
          <w:sz w:val="30"/>
          <w:szCs w:val="30"/>
        </w:rPr>
        <w:t>项。</w:t>
      </w:r>
      <w:bookmarkEnd w:id="5"/>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6" w:name="_Toc17024"/>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坚持引进培育并举，师资队伍建设富有成效</w:t>
      </w:r>
      <w:bookmarkEnd w:id="6"/>
    </w:p>
    <w:p>
      <w:pPr>
        <w:keepNext w:val="0"/>
        <w:keepLines w:val="0"/>
        <w:pageBreakBefore w:val="0"/>
        <w:kinsoku/>
        <w:wordWrap/>
        <w:overflowPunct/>
        <w:topLinePunct w:val="0"/>
        <w:autoSpaceDE/>
        <w:autoSpaceDN/>
        <w:bidi w:val="0"/>
        <w:adjustRightInd/>
        <w:snapToGrid/>
        <w:spacing w:line="520" w:lineRule="exact"/>
        <w:ind w:firstLine="628" w:firstLineChars="200"/>
        <w:textAlignment w:val="auto"/>
        <w:outlineLvl w:val="2"/>
        <w:rPr>
          <w:rFonts w:hint="eastAsia" w:ascii="华文仿宋" w:hAnsi="华文仿宋" w:eastAsia="华文仿宋"/>
          <w:sz w:val="28"/>
          <w:szCs w:val="28"/>
        </w:rPr>
      </w:pPr>
      <w:bookmarkStart w:id="7" w:name="_Toc2430"/>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实施人才强校战略，基本建成了一支服务能力与学术水平持续提升、师德高尚、学识扎实、潜心治教、热爱三农、规模结构相对合理的师资队伍。学校现有教职工1001人，其中专任教师733人，占教职工总数的73.23%，外聘教师189人。具有博士、硕士学位教师651人，占专任教师的88.8%；高级职称教师201人，占专任教师的27.4%；“双师双能”教师169人，占专任教师的23.6%。有全国十佳双创典型导师、全国技术能手、国家教学名师、教育部高等学校教学指导委员会委员等5人，河南省教学名师、模范教师、优秀教师等5人，省管专家、学术技术带头人、骨干教师等高层次人才近50人，赴国（境）外学习、交流和培训人数逐年增加。</w:t>
      </w:r>
      <w:bookmarkEnd w:id="7"/>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8" w:name="_Toc13890"/>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科研水平不断提高，社会服务能力持续增强</w:t>
      </w:r>
      <w:bookmarkEnd w:id="8"/>
    </w:p>
    <w:p>
      <w:pPr>
        <w:keepNext w:val="0"/>
        <w:keepLines w:val="0"/>
        <w:pageBreakBefore w:val="0"/>
        <w:kinsoku/>
        <w:wordWrap/>
        <w:overflowPunct/>
        <w:topLinePunct w:val="0"/>
        <w:autoSpaceDE/>
        <w:autoSpaceDN/>
        <w:bidi w:val="0"/>
        <w:adjustRightInd/>
        <w:snapToGrid/>
        <w:spacing w:line="520" w:lineRule="exact"/>
        <w:ind w:firstLine="628" w:firstLineChars="200"/>
        <w:textAlignment w:val="auto"/>
        <w:outlineLvl w:val="2"/>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bookmarkStart w:id="9" w:name="_Toc14895"/>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科技平台建设亮点突出，获批建立豫南植物有害生物绿色防控院士工作站，河南省豫南茶树资源综合开发重点实验室。牵头组建了茶产业、水库生态渔业、食药用真菌、油茶产业、河南省大别山中药材产业技术创新战略联盟等5个省级技术创新联盟，建有9个省级工程技术研究中心。“十三五”期间，累计承担各级各类科研项目共计331项，其中国家级科研项目3项，省部级科研项目共计108项；全校教师在中文核心及以上期刊发表论文765篇（SCI、EI、CSSCI收录论文167篇），出版学术著作、教材261部；累计获得各类知识产权861项，比“十二五”期间增加了700余项，其中发明专利63项，学校进入河南省高校知识产权综合能力提升专项行动十快高校名单；获批建立国家级培育示范基地1个、省级培训基地5个、省级培育机构1个、省级科普示范基地1个，省级产学研合作试点项目6个。近年来依托河南省博士服务团、科普及适用技术传播工程项目、省市科技特派员等载体，每年开展各类服务咨询活动1000多场次，扎实开展科普及适用技术传播工程，服务地方经济社会建设，促进了区域“三农”事业发展。</w:t>
      </w:r>
      <w:bookmarkEnd w:id="9"/>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10" w:name="_Toc8559"/>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对外合作稳步推进，国际交流合作日益广泛</w:t>
      </w:r>
      <w:bookmarkEnd w:id="10"/>
    </w:p>
    <w:p>
      <w:pPr>
        <w:keepNext w:val="0"/>
        <w:keepLines w:val="0"/>
        <w:pageBreakBefore w:val="0"/>
        <w:kinsoku/>
        <w:wordWrap/>
        <w:overflowPunct/>
        <w:topLinePunct w:val="0"/>
        <w:autoSpaceDE/>
        <w:autoSpaceDN/>
        <w:bidi w:val="0"/>
        <w:adjustRightInd/>
        <w:snapToGrid/>
        <w:spacing w:line="520" w:lineRule="exact"/>
        <w:ind w:firstLine="628" w:firstLineChars="200"/>
        <w:textAlignment w:val="auto"/>
        <w:outlineLvl w:val="2"/>
        <w:rPr>
          <w:rFonts w:hint="eastAsia" w:ascii="华文仿宋" w:hAnsi="华文仿宋" w:eastAsia="华文仿宋"/>
          <w:sz w:val="28"/>
          <w:szCs w:val="28"/>
        </w:rPr>
      </w:pPr>
      <w:bookmarkStart w:id="11" w:name="_Toc7565"/>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不断加强校地、校企合作。校地共建信阳马克思主义学院、信阳农民大学，校企共建信阳家居学院、物流学院、旅游规划设计研究院、大别山油茶学院、特邦产业学院、全丰航空产业学院、大别山文化研究院、新县乡村振兴学院等13个产业学院；依托产学研合作联盟平台，利用校地结对帮扶等措施，推进政产学研深入发展。积极融入“一带一路”开展国际交流与合作，与澳大利亚、新西兰、马来西亚、泰国等多所高校建立了密切合作关系，搭建师生对外交流平台。近几年先后派出教学科研团组10批次34人，前往泰国、新西兰等国家及台湾地区进行教育教学交流。交换生项目、大学生夏令营项目连续实施两年，效果良好。</w:t>
      </w:r>
      <w:bookmarkEnd w:id="11"/>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 xml:space="preserve">              </w:t>
      </w:r>
      <w:r>
        <w:rPr>
          <w:rFonts w:hint="eastAsia" w:ascii="华文仿宋" w:hAnsi="华文仿宋" w:eastAsia="华文仿宋"/>
          <w:sz w:val="28"/>
          <w:szCs w:val="28"/>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12" w:name="_Toc13000"/>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办学投入不断加大，支撑保障条件日益完善</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8" w:firstLineChars="200"/>
        <w:jc w:val="both"/>
        <w:textAlignment w:val="auto"/>
        <w:outlineLvl w:val="1"/>
        <w:rPr>
          <w:rFonts w:hint="eastAsia" w:ascii="仿宋" w:hAnsi="仿宋" w:eastAsia="仿宋" w:cs="仿宋"/>
          <w:color w:val="0000FF"/>
          <w:spacing w:val="7"/>
          <w:kern w:val="2"/>
          <w:sz w:val="30"/>
          <w:szCs w:val="30"/>
          <w:u w:val="none"/>
          <w:lang w:val="en-US" w:eastAsia="zh-CN" w:bidi="ar-SA"/>
        </w:rPr>
      </w:pPr>
      <w:bookmarkStart w:id="13" w:name="_Toc14534"/>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学校总占地面积1198005.99㎡，总建筑面积为436693.25㎡。学校现有教学行政用房面积227828.7㎡，实验室及实习场所面积108966.43㎡，生均教学行政用房13.14㎡。财政投入生均拨款达到1.2万元，教学科研仪器设备总值近1.3亿元。现有园艺技术、水产养殖技术2个国家级职业教育培训实训基地；食品加工技术、植物保护、畜牧兽医、农业技术4个省级示范性实训基地；省级重点实验室、省级实验教学示范中心各一个；建有农林实习场、中心实验室等校内外实习基地200多个，农学、牧医等实验实训中心16个，建制实验室45个，各类功能实验室181个。图书馆面积2.8万平方米，拥有纸质图书155.4万册，生均纸质图书89.23册；拥有电子图书61.7万册，电子期刊44982种。建有较完善的计算机网络服务体系，无线网实现校园全覆盖，建设了教务管理系统、国有资产管理系统、财务管理系统等一批部门级应用信息系统，实现了教学、资产、财务等信息化管理。校园一卡通系统、智慧教室投入使用。</w:t>
      </w:r>
      <w:bookmarkEnd w:id="13"/>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14" w:name="_Toc28273"/>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育人环境不断改善，校园文化建设特色明显</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8" w:firstLineChars="200"/>
        <w:jc w:val="both"/>
        <w:textAlignment w:val="auto"/>
        <w:outlineLvl w:val="1"/>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bookmarkStart w:id="15" w:name="_Toc27761"/>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坚持“围绕发展抓创建、抓好创建促发展”的指导思想，切实加强思想道德建设、领导班子建设、教师队伍建设、校园文化建设、校园环境建设。不断加强“三全育人”工作，将精神文明建设与人才培养、科学研究、社会服务、文化传承紧密结合，广泛开展校园文化活动，环境育人功能进一步完善。成功获批2019年河南省高校网络文化建设精品项目，2020年荣获“河南省文明校园”称号。重视典型选树工作，强化师德标兵、文明教师示范引领作用，师德师风建设取得新成绩。</w:t>
      </w:r>
      <w:bookmarkEnd w:id="15"/>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16" w:name="_Toc29596"/>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制度建设持续加强，依法治校成效显著</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8" w:firstLineChars="200"/>
        <w:jc w:val="both"/>
        <w:textAlignment w:val="auto"/>
        <w:outlineLvl w:val="1"/>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bookmarkStart w:id="17" w:name="_Toc10"/>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学校制定实施《信阳农林学院章程》《信阳农林学院学术委员会章程》等，完善了党委领导下的校长负责制，确立了校学术委员会统筹行使校内学术事务权力的地位；系统梳理了各项规章制度，实施包括人事管理、人才培养及科研管理体制机制改革等在内的“废改立”和“放管服”等改革举措，依法治校全面推进，基本形成多方位教育综合改革局面，推动各项工作规范运行。人事分配制度不断完善，教职工待遇有了明显提高，师生获得感得到增强。财务、审计、国有资产管理及招投标工作不断规范和加强。</w:t>
      </w:r>
      <w:bookmarkEnd w:id="17"/>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28" w:firstLineChars="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18" w:name="_Toc17568"/>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党建工作日益深化，思想政治工作再上台阶</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8" w:firstLineChars="200"/>
        <w:jc w:val="both"/>
        <w:textAlignment w:val="auto"/>
        <w:outlineLvl w:val="1"/>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bookmarkStart w:id="19" w:name="_Toc2606"/>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充分发挥党建工作对各项事业发展的引领、保障和促进作用，积极探索党建工作新载体、新模式、新机制。党委领导核心作用、各党总支、支部的战斗堡垒作用和共产党员的先锋模范作用得到充分发挥。领导班子建设不断加强，基层党组织建设进一步完善，干部队伍整体素质明显提高，全面从严治党向纵深发展。加强党委对意识形态工作的领导，坚持社会主义办学方向，坚持用习近平新时代中国特色社会主义思想武装头脑，深入学习贯彻习近平总书记重要教育论述和党的十九届历次全会精神，不断加强和改进思想政治工作，为推动学校改革发展提供了强有力的思想武器和组织保障。</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8" w:firstLineChars="200"/>
        <w:jc w:val="both"/>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学校“十三五”发展形成了如下</w:t>
      </w:r>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共识和经验</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一是要坚持党的全面领导，把握社会主义办学方向；二是坚持“立德树人”根本任务，为党育人，为国育才；三是要坚持办学定位，坚定发展方向；四是坚持以人为本，落实人才强校战略；五是坚持解放思想，不断推进改革创新；六是坚持扎根地方，着力服务区域发展；七是坚持农林特色，推进内涵发展；八是坚持优良传统，不断追求自我超越。这些共识和经验，需要在“十四五”期间倍加珍惜，发扬光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outlineLvl w:val="0"/>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20" w:name="_Toc19649"/>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二、“十四五”</w:t>
      </w:r>
      <w:r>
        <w:rPr>
          <w:rFonts w:hint="eastAsia" w:ascii="仿宋" w:hAnsi="仿宋" w:eastAsia="仿宋" w:cs="仿宋"/>
          <w:b/>
          <w:bCs/>
          <w:color w:val="0000FF"/>
          <w:sz w:val="30"/>
          <w:szCs w:val="30"/>
          <w:u w:val="none"/>
          <w:lang w:val="en-US" w:eastAsia="zh-CN"/>
        </w:rPr>
        <w:t>时期</w:t>
      </w:r>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学校发展面临的机遇与挑战</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21" w:name="_Toc9158"/>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（一）发展机遇</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8" w:firstLineChars="200"/>
        <w:jc w:val="both"/>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十四五”期间，学校面临难得的发展机遇。国家经济社会发展“十四五”规划明确提出，优先发展农业农村，全面推进乡村振兴，实施乡村建设行动。国家教育“十四五”规划提出，加快推进新农科建设，培养知农爱农的新型卓越农林人才；实施乡村教育振兴计划，深入实施高校乡村振兴科技创新行动计划，组织高校开展生物育种等农业关键核心技术攻关，加快农业科技创新成果转化应用。信阳市“十四五”经济社会发展规划提出，以国家级农科教合作人才培养基地建设为重点，构建以信阳农林学院为依托，以合作共建为主线，集“产、学、研、转、创、用”于一体的农林产教融合示范基地，把学校建成特色鲜明的区域性应用型农业类重点高校。《大别山革命老区振兴发展规划》《淮河生态经济带发展规划》等区域战略规划的颁布实施，都为学校的发展带来了难得的发展机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outlineLvl w:val="1"/>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pPr>
      <w:bookmarkStart w:id="22" w:name="_Toc31020"/>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（二）问题与挑战</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 xml:space="preserve"> 区位性制约因素带来的外在挑战</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我国高等教育已经迈入普及化阶段，高等教育的国际国内竞争更加激烈。我校作为地方高校，受经济欠发达等区位因素和地方财力支持有限等不利因素影响，在加大经费投入、引进高层次人才、吸引优质资源等方面还存在明显竞争劣势；还存在着学校作为新建本科院校在全省本科方阵所处方位比较靠后、缺乏竞争优势的不利地位。如何破解这些难题，是学校发展面临的现实挑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b/>
          <w:bCs/>
          <w:color w:val="000000" w:themeColor="text1"/>
          <w:spacing w:val="7"/>
          <w:kern w:val="2"/>
          <w:sz w:val="30"/>
          <w:szCs w:val="30"/>
          <w:u w:val="none"/>
          <w:lang w:val="en-US" w:eastAsia="zh-CN" w:bidi="ar-SA"/>
          <w14:textFill>
            <w14:solidFill>
              <w14:schemeClr w14:val="tx1"/>
            </w14:solidFill>
          </w14:textFill>
        </w:rPr>
        <w:t>推动高质量转型发展面临的形势挑战</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 xml:space="preserve">。十四五时期学校面临着办学重点由过去规模扩张与内涵建设并举向以强化内涵建设、质量提升为主转变，发展方向由相对趋同向强化特色发展转变，办学模式由相对封闭向开放合作转变，办学体制机制由相对僵化向灵活高效转变等方面的新形势、新要求；面临着推进“四新建设”、“双一流建设”，构建高质量应用型人才培养体系的迫切要求；面临着迎接本科教学合格评估和审核评估，加快转型发展的艰巨任务，这些都将成为倒逼学校深化改革、加快转型发展、实现弯道超车的形势挑战。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0" w:firstLineChars="200"/>
        <w:jc w:val="both"/>
        <w:textAlignment w:val="auto"/>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pPr>
      <w:r>
        <w:rPr>
          <w:rFonts w:hint="eastAsia" w:ascii="仿宋" w:hAnsi="仿宋" w:eastAsia="仿宋" w:cs="仿宋"/>
          <w:b/>
          <w:bCs/>
          <w:color w:val="0000FF"/>
          <w:spacing w:val="7"/>
          <w:kern w:val="2"/>
          <w:sz w:val="30"/>
          <w:szCs w:val="30"/>
          <w:u w:val="none"/>
          <w:lang w:val="en-US" w:eastAsia="zh-CN" w:bidi="ar-SA"/>
        </w:rPr>
        <w:t>学校面临的现实问题亟待解决</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十三五”期间学校虽然取得可喜成绩，但要清醒认识到，学校办学治校理念、教育教学观念、人才培养模式有待进一步创新；学科专业结构有待进一步优化，教育教学改革有待进一步深化，应用型人才培养质量有待进一步提高；基本办学条件</w:t>
      </w:r>
      <w:r>
        <w:rPr>
          <w:rFonts w:hint="eastAsia" w:ascii="仿宋" w:hAnsi="仿宋" w:eastAsia="仿宋" w:cs="仿宋"/>
          <w:color w:val="0000FF"/>
          <w:spacing w:val="7"/>
          <w:kern w:val="2"/>
          <w:sz w:val="30"/>
          <w:szCs w:val="30"/>
          <w:u w:val="none"/>
          <w:lang w:val="en-US" w:eastAsia="zh-CN" w:bidi="ar-SA"/>
        </w:rPr>
        <w:t>亟需</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改善；高层次人才引进和“双师双能型”教师队伍建设力度</w:t>
      </w:r>
      <w:r>
        <w:rPr>
          <w:rFonts w:hint="eastAsia" w:ascii="仿宋" w:hAnsi="仿宋" w:eastAsia="仿宋" w:cs="仿宋"/>
          <w:color w:val="FF0000"/>
          <w:spacing w:val="7"/>
          <w:kern w:val="2"/>
          <w:sz w:val="30"/>
          <w:szCs w:val="30"/>
          <w:u w:val="none"/>
          <w:lang w:val="en-US" w:eastAsia="zh-CN" w:bidi="ar-SA"/>
        </w:rPr>
        <w:t>亟待</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加强；科研水平、成果转化及</w:t>
      </w:r>
      <w:r>
        <w:rPr>
          <w:rFonts w:hint="eastAsia" w:ascii="仿宋" w:hAnsi="仿宋" w:eastAsia="仿宋" w:cs="仿宋"/>
          <w:color w:val="FF0000"/>
          <w:spacing w:val="7"/>
          <w:kern w:val="2"/>
          <w:sz w:val="30"/>
          <w:szCs w:val="30"/>
          <w:u w:val="none"/>
          <w:lang w:val="en-US" w:eastAsia="zh-CN" w:bidi="ar-SA"/>
        </w:rPr>
        <w:t>社会服务</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能力有待提升；制约学校发展的深层次体制机制问题有待进一步破解，管理服务和现代化治理体系有待进一步完善等。以上这些来自学校内部的深层次</w:t>
      </w:r>
      <w:r>
        <w:rPr>
          <w:rFonts w:hint="eastAsia" w:ascii="仿宋" w:hAnsi="仿宋" w:eastAsia="仿宋" w:cs="仿宋"/>
          <w:color w:val="0000FF"/>
          <w:spacing w:val="7"/>
          <w:kern w:val="2"/>
          <w:sz w:val="30"/>
          <w:szCs w:val="30"/>
          <w:u w:val="none"/>
          <w:lang w:val="en-US" w:eastAsia="zh-CN" w:bidi="ar-SA"/>
        </w:rPr>
        <w:t>发展问题</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都需要在“十四五”时期加以重点解决。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0"/>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23" w:name="_Toc1415"/>
      <w:r>
        <w:rPr>
          <w:rFonts w:hint="eastAsia" w:ascii="仿宋" w:hAnsi="仿宋" w:eastAsia="仿宋" w:cs="仿宋"/>
          <w:b/>
          <w:bCs/>
          <w:color w:val="000000" w:themeColor="text1"/>
          <w:sz w:val="30"/>
          <w:szCs w:val="30"/>
          <w:u w:val="none"/>
          <w:lang w:val="en-US" w:eastAsia="zh-CN"/>
          <w14:textFill>
            <w14:solidFill>
              <w14:schemeClr w14:val="tx1"/>
            </w14:solidFill>
          </w14:textFill>
        </w:rPr>
        <w:t>三、“十四五”</w:t>
      </w:r>
      <w:r>
        <w:rPr>
          <w:rFonts w:hint="eastAsia" w:ascii="仿宋" w:hAnsi="仿宋" w:eastAsia="仿宋" w:cs="仿宋"/>
          <w:b/>
          <w:bCs/>
          <w:color w:val="0000FF"/>
          <w:sz w:val="30"/>
          <w:szCs w:val="30"/>
          <w:u w:val="none"/>
          <w:lang w:val="en-US" w:eastAsia="zh-CN"/>
        </w:rPr>
        <w:t>时期</w:t>
      </w:r>
      <w:r>
        <w:rPr>
          <w:rFonts w:hint="eastAsia" w:ascii="仿宋" w:hAnsi="仿宋" w:eastAsia="仿宋" w:cs="仿宋"/>
          <w:b/>
          <w:bCs/>
          <w:color w:val="000000" w:themeColor="text1"/>
          <w:sz w:val="30"/>
          <w:szCs w:val="30"/>
          <w:u w:val="none"/>
          <w:lang w:val="en-US" w:eastAsia="zh-CN"/>
          <w14:textFill>
            <w14:solidFill>
              <w14:schemeClr w14:val="tx1"/>
            </w14:solidFill>
          </w14:textFill>
        </w:rPr>
        <w:t>学校发展的指导思想、发展定位、发展思路、发展目标</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8" w:firstLineChars="200"/>
        <w:jc w:val="both"/>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在机遇和挑战面前，“十四五”</w:t>
      </w:r>
      <w:r>
        <w:rPr>
          <w:rFonts w:hint="eastAsia" w:ascii="仿宋" w:hAnsi="仿宋" w:eastAsia="仿宋" w:cs="仿宋"/>
          <w:color w:val="0000FF"/>
          <w:spacing w:val="7"/>
          <w:kern w:val="2"/>
          <w:sz w:val="30"/>
          <w:szCs w:val="30"/>
          <w:u w:val="none"/>
          <w:lang w:val="en-US" w:eastAsia="zh-CN" w:bidi="ar-SA"/>
        </w:rPr>
        <w:t>时期</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我们必须准确地把握国内外高等教育改革发展</w:t>
      </w:r>
      <w:r>
        <w:rPr>
          <w:rFonts w:hint="eastAsia" w:ascii="仿宋" w:hAnsi="仿宋" w:eastAsia="仿宋" w:cs="仿宋"/>
          <w:color w:val="0000FF"/>
          <w:spacing w:val="7"/>
          <w:kern w:val="2"/>
          <w:sz w:val="30"/>
          <w:szCs w:val="30"/>
          <w:u w:val="none"/>
          <w:lang w:val="en-US" w:eastAsia="zh-CN" w:bidi="ar-SA"/>
        </w:rPr>
        <w:t>形势</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，遵循高等教育发展的基本规律，坚定应用型办学定位，增强超前意识、赶超意识、创新意识，以高度的事业心和强烈的使命感，</w:t>
      </w:r>
      <w:r>
        <w:rPr>
          <w:rFonts w:hint="eastAsia" w:ascii="仿宋" w:hAnsi="仿宋" w:eastAsia="仿宋" w:cs="仿宋"/>
          <w:color w:val="0000FF"/>
          <w:spacing w:val="7"/>
          <w:sz w:val="30"/>
          <w:szCs w:val="30"/>
        </w:rPr>
        <w:t>秉承新理念</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，谋求新发展，开创新局面，坚定不移地加快学校改革发展步伐，持之以恒地推进特色鲜明的应用型本科大学建设进程。</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1"/>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24" w:name="_Toc9984"/>
      <w:r>
        <w:rPr>
          <w:rFonts w:hint="eastAsia" w:ascii="仿宋" w:hAnsi="仿宋" w:eastAsia="仿宋" w:cs="仿宋"/>
          <w:b/>
          <w:bCs/>
          <w:color w:val="000000" w:themeColor="text1"/>
          <w:sz w:val="30"/>
          <w:szCs w:val="30"/>
          <w:u w:val="none"/>
          <w:lang w:val="en-US" w:eastAsia="zh-CN"/>
          <w14:textFill>
            <w14:solidFill>
              <w14:schemeClr w14:val="tx1"/>
            </w14:solidFill>
          </w14:textFill>
        </w:rPr>
        <w:t>（一）指导思想</w:t>
      </w:r>
      <w:bookmarkEnd w:id="24"/>
      <w:r>
        <w:rPr>
          <w:rFonts w:hint="eastAsia" w:ascii="仿宋" w:hAnsi="仿宋" w:eastAsia="仿宋" w:cs="仿宋"/>
          <w:b/>
          <w:bCs/>
          <w:color w:val="000000" w:themeColor="text1"/>
          <w:sz w:val="30"/>
          <w:szCs w:val="30"/>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color w:val="FF0000"/>
          <w:sz w:val="30"/>
          <w:szCs w:val="30"/>
        </w:rPr>
      </w:pPr>
      <w:r>
        <w:rPr>
          <w:rFonts w:hint="eastAsia" w:ascii="仿宋" w:hAnsi="仿宋" w:eastAsia="仿宋" w:cs="仿宋"/>
          <w:color w:val="FF0000"/>
          <w:sz w:val="30"/>
          <w:szCs w:val="30"/>
        </w:rPr>
        <w:t>以习近平新时代中国特色社会主义思想为指导，</w:t>
      </w:r>
      <w:r>
        <w:rPr>
          <w:rFonts w:hint="eastAsia" w:ascii="仿宋_GB2312" w:hAnsi="仿宋_GB2312" w:eastAsia="仿宋_GB2312" w:cs="仿宋_GB2312"/>
          <w:color w:val="FF0000"/>
          <w:sz w:val="30"/>
          <w:szCs w:val="30"/>
        </w:rPr>
        <w:t>贯彻落实党的十九大和十九届二中、三中、四中、五中全会精神，</w:t>
      </w:r>
      <w:r>
        <w:rPr>
          <w:rFonts w:hint="eastAsia" w:ascii="仿宋_GB2312" w:hAnsi="仿宋_GB2312" w:eastAsia="仿宋_GB2312" w:cs="仿宋_GB2312"/>
          <w:color w:val="FF0000"/>
          <w:sz w:val="30"/>
          <w:szCs w:val="30"/>
          <w:lang w:eastAsia="zh-CN"/>
        </w:rPr>
        <w:t>坚持社会主义办学方向，</w:t>
      </w:r>
      <w:r>
        <w:rPr>
          <w:rFonts w:hint="eastAsia" w:ascii="仿宋_GB2312" w:hAnsi="仿宋_GB2312" w:eastAsia="仿宋_GB2312" w:cs="仿宋_GB2312"/>
          <w:color w:val="FF0000"/>
          <w:sz w:val="30"/>
          <w:szCs w:val="30"/>
        </w:rPr>
        <w:t>全面贯彻党的教育方针</w:t>
      </w:r>
      <w:r>
        <w:rPr>
          <w:rFonts w:hint="eastAsia" w:ascii="仿宋_GB2312" w:hAnsi="仿宋_GB2312" w:eastAsia="仿宋_GB2312" w:cs="仿宋_GB2312"/>
          <w:color w:val="FF0000"/>
          <w:sz w:val="30"/>
          <w:szCs w:val="30"/>
          <w:lang w:val="zh-CN" w:bidi="zh-CN"/>
        </w:rPr>
        <w:t>，服务国家和区域经济社会发展战略，以推动高质</w:t>
      </w:r>
      <w:r>
        <w:rPr>
          <w:rFonts w:hint="eastAsia" w:ascii="仿宋_GB2312" w:hAnsi="仿宋_GB2312" w:eastAsia="仿宋_GB2312" w:cs="仿宋_GB2312"/>
          <w:color w:val="FF0000"/>
          <w:sz w:val="30"/>
          <w:szCs w:val="30"/>
        </w:rPr>
        <w:t>量发展为主题</w:t>
      </w:r>
      <w:r>
        <w:rPr>
          <w:rFonts w:hint="eastAsia" w:ascii="仿宋_GB2312" w:hAnsi="仿宋_GB2312" w:eastAsia="仿宋_GB2312" w:cs="仿宋_GB2312"/>
          <w:color w:val="FF0000"/>
          <w:sz w:val="30"/>
          <w:szCs w:val="30"/>
          <w:lang w:eastAsia="zh-CN"/>
        </w:rPr>
        <w:t>，</w:t>
      </w:r>
      <w:r>
        <w:rPr>
          <w:rFonts w:hint="eastAsia" w:ascii="仿宋_GB2312" w:hAnsi="仿宋_GB2312" w:eastAsia="仿宋_GB2312" w:cs="仿宋_GB2312"/>
          <w:color w:val="FF0000"/>
          <w:sz w:val="30"/>
          <w:szCs w:val="30"/>
          <w:lang w:val="zh-CN" w:bidi="zh-CN"/>
        </w:rPr>
        <w:t>以立德树人为根本，</w:t>
      </w:r>
      <w:r>
        <w:rPr>
          <w:rFonts w:hint="eastAsia" w:ascii="仿宋" w:hAnsi="仿宋" w:eastAsia="仿宋" w:cs="仿宋"/>
          <w:color w:val="FF0000"/>
          <w:sz w:val="30"/>
          <w:szCs w:val="30"/>
        </w:rPr>
        <w:t>以强农兴农为己任</w:t>
      </w:r>
      <w:r>
        <w:rPr>
          <w:rFonts w:hint="eastAsia" w:ascii="仿宋_GB2312" w:hAnsi="仿宋_GB2312" w:eastAsia="仿宋_GB2312" w:cs="仿宋_GB2312"/>
          <w:color w:val="FF0000"/>
          <w:sz w:val="30"/>
          <w:szCs w:val="30"/>
        </w:rPr>
        <w:t>，以改革创新为动力，</w:t>
      </w:r>
      <w:r>
        <w:rPr>
          <w:rFonts w:hint="eastAsia" w:ascii="仿宋" w:hAnsi="仿宋" w:eastAsia="仿宋" w:cs="仿宋"/>
          <w:color w:val="FF0000"/>
          <w:sz w:val="30"/>
          <w:szCs w:val="30"/>
        </w:rPr>
        <w:t>加强党建和文化引领，实施特色发展、创新发展和人才强校战略，全面深化改革，改善办学条件，强化内涵建设，坚持地方应用型本科办学定位，坚守本色、擦亮底色、打造特色，加快聚集发展新动能，汇聚发展新优势，拓展办学新空间，为建设特色鲜明的应用型本科高校而努力奋斗。</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1"/>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25" w:name="_Toc27245"/>
      <w:r>
        <w:rPr>
          <w:rFonts w:hint="eastAsia" w:ascii="仿宋" w:hAnsi="仿宋" w:eastAsia="仿宋" w:cs="仿宋"/>
          <w:b/>
          <w:bCs/>
          <w:color w:val="000000" w:themeColor="text1"/>
          <w:sz w:val="30"/>
          <w:szCs w:val="30"/>
          <w:u w:val="none"/>
          <w:lang w:val="en-US" w:eastAsia="zh-CN"/>
          <w14:textFill>
            <w14:solidFill>
              <w14:schemeClr w14:val="tx1"/>
            </w14:solidFill>
          </w14:textFill>
        </w:rPr>
        <w:t>（二）发展定位</w:t>
      </w:r>
      <w:bookmarkEnd w:id="25"/>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color w:val="000000" w:themeColor="text1"/>
          <w:sz w:val="30"/>
          <w:szCs w:val="30"/>
          <w:u w:val="none"/>
          <w:lang w:eastAsia="zh-CN"/>
          <w14:textFill>
            <w14:solidFill>
              <w14:schemeClr w14:val="tx1"/>
            </w14:solidFill>
          </w14:textFill>
        </w:rPr>
      </w:pPr>
      <w:bookmarkStart w:id="26" w:name="_Toc30286"/>
      <w:r>
        <w:rPr>
          <w:rFonts w:hint="eastAsia" w:ascii="仿宋" w:hAnsi="仿宋" w:eastAsia="仿宋" w:cs="仿宋"/>
          <w:b/>
          <w:bCs/>
          <w:color w:val="000000" w:themeColor="text1"/>
          <w:sz w:val="30"/>
          <w:szCs w:val="30"/>
          <w:u w:val="none"/>
          <w:lang w:val="en-US" w:eastAsia="zh-CN"/>
          <w14:textFill>
            <w14:solidFill>
              <w14:schemeClr w14:val="tx1"/>
            </w14:solidFill>
          </w14:textFill>
        </w:rPr>
        <w:t>1.</w:t>
      </w:r>
      <w:r>
        <w:rPr>
          <w:rFonts w:hint="eastAsia" w:ascii="仿宋" w:hAnsi="仿宋" w:eastAsia="仿宋" w:cs="仿宋"/>
          <w:b/>
          <w:bCs/>
          <w:color w:val="000000" w:themeColor="text1"/>
          <w:sz w:val="30"/>
          <w:szCs w:val="30"/>
          <w:u w:val="none"/>
          <w14:textFill>
            <w14:solidFill>
              <w14:schemeClr w14:val="tx1"/>
            </w14:solidFill>
          </w14:textFill>
        </w:rPr>
        <w:t>办学</w:t>
      </w:r>
      <w:r>
        <w:rPr>
          <w:rFonts w:hint="eastAsia" w:ascii="仿宋" w:hAnsi="仿宋" w:eastAsia="仿宋" w:cs="仿宋"/>
          <w:b/>
          <w:bCs/>
          <w:color w:val="000000" w:themeColor="text1"/>
          <w:sz w:val="30"/>
          <w:szCs w:val="30"/>
          <w:u w:val="none"/>
          <w:lang w:eastAsia="zh-CN"/>
          <w14:textFill>
            <w14:solidFill>
              <w14:schemeClr w14:val="tx1"/>
            </w14:solidFill>
          </w14:textFill>
        </w:rPr>
        <w:t>总体</w:t>
      </w:r>
      <w:r>
        <w:rPr>
          <w:rFonts w:hint="eastAsia" w:ascii="仿宋" w:hAnsi="仿宋" w:eastAsia="仿宋" w:cs="仿宋"/>
          <w:b/>
          <w:bCs/>
          <w:color w:val="000000" w:themeColor="text1"/>
          <w:sz w:val="30"/>
          <w:szCs w:val="30"/>
          <w:u w:val="none"/>
          <w14:textFill>
            <w14:solidFill>
              <w14:schemeClr w14:val="tx1"/>
            </w14:solidFill>
          </w14:textFill>
        </w:rPr>
        <w:t>定位</w:t>
      </w:r>
      <w:r>
        <w:rPr>
          <w:rFonts w:hint="eastAsia" w:ascii="仿宋" w:hAnsi="仿宋" w:eastAsia="仿宋" w:cs="仿宋"/>
          <w:b/>
          <w:bCs/>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14:textFill>
            <w14:solidFill>
              <w14:schemeClr w14:val="tx1"/>
            </w14:solidFill>
          </w14:textFill>
        </w:rPr>
        <w:t>地方性、应用型</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b/>
          <w:bCs/>
          <w:color w:val="FF0000"/>
          <w:sz w:val="30"/>
          <w:szCs w:val="30"/>
          <w:u w:val="single"/>
          <w:lang w:eastAsia="zh-CN"/>
        </w:rPr>
        <w:t>行业性、开放式</w:t>
      </w:r>
      <w:r>
        <w:rPr>
          <w:rFonts w:hint="eastAsia" w:ascii="仿宋" w:hAnsi="仿宋" w:eastAsia="仿宋" w:cs="仿宋"/>
          <w:color w:val="FF0000"/>
          <w:sz w:val="30"/>
          <w:szCs w:val="30"/>
          <w:u w:val="single"/>
          <w:lang w:eastAsia="zh-CN"/>
        </w:rPr>
        <w:t>？或：开放式、服务型？或：</w:t>
      </w:r>
      <w:r>
        <w:rPr>
          <w:rFonts w:hint="eastAsia" w:ascii="仿宋" w:hAnsi="仿宋" w:eastAsia="仿宋" w:cs="仿宋"/>
          <w:b w:val="0"/>
          <w:bCs w:val="0"/>
          <w:color w:val="FF0000"/>
          <w:sz w:val="30"/>
          <w:szCs w:val="30"/>
          <w:u w:val="single"/>
          <w:lang w:eastAsia="zh-CN"/>
        </w:rPr>
        <w:t>行业</w:t>
      </w:r>
      <w:r>
        <w:rPr>
          <w:rFonts w:hint="eastAsia" w:ascii="仿宋" w:hAnsi="仿宋" w:eastAsia="仿宋" w:cs="仿宋"/>
          <w:color w:val="FF0000"/>
          <w:sz w:val="30"/>
          <w:szCs w:val="30"/>
          <w:u w:val="single"/>
          <w:lang w:eastAsia="zh-CN"/>
        </w:rPr>
        <w:t>性、服务型？</w:t>
      </w:r>
      <w:r>
        <w:rPr>
          <w:rFonts w:hint="eastAsia" w:ascii="仿宋" w:hAnsi="仿宋" w:eastAsia="仿宋" w:cs="仿宋"/>
          <w:color w:val="000000" w:themeColor="text1"/>
          <w:sz w:val="30"/>
          <w:szCs w:val="30"/>
          <w:u w:val="none"/>
          <w:lang w:eastAsia="zh-CN"/>
          <w14:textFill>
            <w14:solidFill>
              <w14:schemeClr w14:val="tx1"/>
            </w14:solidFill>
          </w14:textFill>
        </w:rPr>
        <w:t>）。</w:t>
      </w:r>
      <w:bookmarkEnd w:id="26"/>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color w:val="000000" w:themeColor="text1"/>
          <w:sz w:val="30"/>
          <w:szCs w:val="30"/>
          <w:u w:val="none"/>
          <w14:textFill>
            <w14:solidFill>
              <w14:schemeClr w14:val="tx1"/>
            </w14:solidFill>
          </w14:textFill>
        </w:rPr>
      </w:pPr>
      <w:bookmarkStart w:id="27" w:name="_Toc10015"/>
      <w:r>
        <w:rPr>
          <w:rFonts w:hint="eastAsia" w:ascii="仿宋" w:hAnsi="仿宋" w:eastAsia="仿宋" w:cs="仿宋"/>
          <w:b/>
          <w:bCs/>
          <w:color w:val="000000" w:themeColor="text1"/>
          <w:sz w:val="30"/>
          <w:szCs w:val="30"/>
          <w:u w:val="none"/>
          <w:lang w:val="en-US" w:eastAsia="zh-CN"/>
          <w14:textFill>
            <w14:solidFill>
              <w14:schemeClr w14:val="tx1"/>
            </w14:solidFill>
          </w14:textFill>
        </w:rPr>
        <w:t>2</w:t>
      </w:r>
      <w:r>
        <w:rPr>
          <w:rFonts w:hint="eastAsia" w:ascii="仿宋" w:hAnsi="仿宋" w:eastAsia="仿宋" w:cs="仿宋"/>
          <w:b/>
          <w:bCs/>
          <w:color w:val="000000" w:themeColor="text1"/>
          <w:sz w:val="30"/>
          <w:szCs w:val="30"/>
          <w:u w:val="none"/>
          <w14:textFill>
            <w14:solidFill>
              <w14:schemeClr w14:val="tx1"/>
            </w14:solidFill>
          </w14:textFill>
        </w:rPr>
        <w:t>.发展目标定位</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14:textFill>
            <w14:solidFill>
              <w14:schemeClr w14:val="tx1"/>
            </w14:solidFill>
          </w14:textFill>
        </w:rPr>
        <w:t>优势突出、特色鲜明</w:t>
      </w:r>
      <w:r>
        <w:rPr>
          <w:rFonts w:hint="eastAsia" w:ascii="仿宋" w:hAnsi="仿宋" w:eastAsia="仿宋" w:cs="仿宋"/>
          <w:color w:val="000000" w:themeColor="text1"/>
          <w:sz w:val="30"/>
          <w:szCs w:val="30"/>
          <w:u w:val="none"/>
          <w:lang w:eastAsia="zh-CN"/>
          <w14:textFill>
            <w14:solidFill>
              <w14:schemeClr w14:val="tx1"/>
            </w14:solidFill>
          </w14:textFill>
        </w:rPr>
        <w:t>、</w:t>
      </w:r>
      <w:r>
        <w:rPr>
          <w:rFonts w:hint="eastAsia" w:ascii="仿宋" w:hAnsi="仿宋" w:eastAsia="仿宋" w:cs="仿宋"/>
          <w:color w:val="FF0000"/>
          <w:sz w:val="30"/>
          <w:szCs w:val="30"/>
          <w:u w:val="none"/>
          <w:lang w:eastAsia="zh-CN"/>
        </w:rPr>
        <w:t>影响力强</w:t>
      </w:r>
      <w:r>
        <w:rPr>
          <w:rFonts w:hint="eastAsia" w:ascii="仿宋" w:hAnsi="仿宋" w:eastAsia="仿宋" w:cs="仿宋"/>
          <w:color w:val="000000" w:themeColor="text1"/>
          <w:sz w:val="30"/>
          <w:szCs w:val="30"/>
          <w:u w:val="none"/>
          <w:lang w:eastAsia="zh-CN"/>
          <w14:textFill>
            <w14:solidFill>
              <w14:schemeClr w14:val="tx1"/>
            </w14:solidFill>
          </w14:textFill>
        </w:rPr>
        <w:t>的农林类</w:t>
      </w:r>
      <w:r>
        <w:rPr>
          <w:rFonts w:hint="eastAsia" w:ascii="仿宋" w:hAnsi="仿宋" w:eastAsia="仿宋" w:cs="仿宋"/>
          <w:color w:val="FF0000"/>
          <w:sz w:val="30"/>
          <w:szCs w:val="30"/>
          <w:u w:val="none"/>
          <w:lang w:eastAsia="zh-CN"/>
        </w:rPr>
        <w:t>区域</w:t>
      </w:r>
      <w:r>
        <w:rPr>
          <w:rFonts w:hint="eastAsia" w:ascii="仿宋" w:hAnsi="仿宋" w:eastAsia="仿宋" w:cs="仿宋"/>
          <w:color w:val="000000" w:themeColor="text1"/>
          <w:sz w:val="30"/>
          <w:szCs w:val="30"/>
          <w:u w:val="none"/>
          <w:lang w:eastAsia="zh-CN"/>
          <w14:textFill>
            <w14:solidFill>
              <w14:schemeClr w14:val="tx1"/>
            </w14:solidFill>
          </w14:textFill>
        </w:rPr>
        <w:t>知名高校</w:t>
      </w:r>
      <w:r>
        <w:rPr>
          <w:rFonts w:hint="eastAsia" w:ascii="仿宋" w:hAnsi="仿宋" w:eastAsia="仿宋" w:cs="仿宋"/>
          <w:color w:val="000000" w:themeColor="text1"/>
          <w:sz w:val="30"/>
          <w:szCs w:val="30"/>
          <w:u w:val="none"/>
          <w14:textFill>
            <w14:solidFill>
              <w14:schemeClr w14:val="tx1"/>
            </w14:solidFill>
          </w14:textFill>
        </w:rPr>
        <w:t>。</w:t>
      </w:r>
      <w:bookmarkEnd w:id="27"/>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color w:val="000000" w:themeColor="text1"/>
          <w:sz w:val="30"/>
          <w:szCs w:val="30"/>
          <w:u w:val="none"/>
          <w14:textFill>
            <w14:solidFill>
              <w14:schemeClr w14:val="tx1"/>
            </w14:solidFill>
          </w14:textFill>
        </w:rPr>
      </w:pPr>
      <w:bookmarkStart w:id="28" w:name="_Toc29602"/>
      <w:bookmarkStart w:id="29" w:name="_Toc21119"/>
      <w:r>
        <w:rPr>
          <w:rFonts w:hint="eastAsia" w:ascii="仿宋" w:hAnsi="仿宋" w:eastAsia="仿宋" w:cs="仿宋"/>
          <w:b/>
          <w:bCs/>
          <w:color w:val="000000" w:themeColor="text1"/>
          <w:sz w:val="30"/>
          <w:szCs w:val="30"/>
          <w:u w:val="none"/>
          <w:lang w:val="en-US" w:eastAsia="zh-CN"/>
          <w14:textFill>
            <w14:solidFill>
              <w14:schemeClr w14:val="tx1"/>
            </w14:solidFill>
          </w14:textFill>
        </w:rPr>
        <w:t>3</w:t>
      </w:r>
      <w:r>
        <w:rPr>
          <w:rFonts w:hint="eastAsia" w:ascii="仿宋" w:hAnsi="仿宋" w:eastAsia="仿宋" w:cs="仿宋"/>
          <w:b/>
          <w:bCs/>
          <w:color w:val="000000" w:themeColor="text1"/>
          <w:sz w:val="30"/>
          <w:szCs w:val="30"/>
          <w:u w:val="none"/>
          <w14:textFill>
            <w14:solidFill>
              <w14:schemeClr w14:val="tx1"/>
            </w14:solidFill>
          </w14:textFill>
        </w:rPr>
        <w:t>.</w:t>
      </w:r>
      <w:bookmarkEnd w:id="28"/>
      <w:r>
        <w:rPr>
          <w:rFonts w:hint="eastAsia" w:ascii="仿宋" w:hAnsi="仿宋" w:eastAsia="仿宋" w:cs="仿宋"/>
          <w:b/>
          <w:bCs/>
          <w:color w:val="000000" w:themeColor="text1"/>
          <w:sz w:val="30"/>
          <w:szCs w:val="30"/>
          <w:u w:val="none"/>
          <w:lang w:eastAsia="zh-CN"/>
          <w14:textFill>
            <w14:solidFill>
              <w14:schemeClr w14:val="tx1"/>
            </w14:solidFill>
          </w14:textFill>
        </w:rPr>
        <w:t>办学</w:t>
      </w:r>
      <w:r>
        <w:rPr>
          <w:rFonts w:hint="eastAsia" w:ascii="仿宋" w:hAnsi="仿宋" w:eastAsia="仿宋" w:cs="仿宋"/>
          <w:b/>
          <w:bCs/>
          <w:color w:val="000000" w:themeColor="text1"/>
          <w:sz w:val="30"/>
          <w:szCs w:val="30"/>
          <w:u w:val="none"/>
          <w14:textFill>
            <w14:solidFill>
              <w14:schemeClr w14:val="tx1"/>
            </w14:solidFill>
          </w14:textFill>
        </w:rPr>
        <w:t>层次定位</w:t>
      </w:r>
      <w:r>
        <w:rPr>
          <w:rFonts w:hint="eastAsia" w:ascii="仿宋" w:hAnsi="仿宋" w:eastAsia="仿宋" w:cs="仿宋"/>
          <w:b/>
          <w:bCs/>
          <w:color w:val="000000" w:themeColor="text1"/>
          <w:sz w:val="30"/>
          <w:szCs w:val="30"/>
          <w:u w:val="none"/>
          <w:lang w:eastAsia="zh-CN"/>
          <w14:textFill>
            <w14:solidFill>
              <w14:schemeClr w14:val="tx1"/>
            </w14:solidFill>
          </w14:textFill>
        </w:rPr>
        <w:t>：</w:t>
      </w:r>
      <w:r>
        <w:rPr>
          <w:rFonts w:hint="eastAsia" w:ascii="仿宋" w:hAnsi="仿宋" w:eastAsia="仿宋" w:cs="仿宋"/>
          <w:color w:val="000000" w:themeColor="text1"/>
          <w:sz w:val="30"/>
          <w:szCs w:val="30"/>
          <w:u w:val="none"/>
          <w14:textFill>
            <w14:solidFill>
              <w14:schemeClr w14:val="tx1"/>
            </w14:solidFill>
          </w14:textFill>
        </w:rPr>
        <w:t>以</w:t>
      </w:r>
      <w:r>
        <w:rPr>
          <w:rFonts w:hint="eastAsia" w:ascii="仿宋" w:hAnsi="仿宋" w:eastAsia="仿宋" w:cs="仿宋"/>
          <w:color w:val="000000" w:themeColor="text1"/>
          <w:sz w:val="30"/>
          <w:szCs w:val="30"/>
          <w:u w:val="none"/>
          <w:lang w:eastAsia="zh-CN"/>
          <w14:textFill>
            <w14:solidFill>
              <w14:schemeClr w14:val="tx1"/>
            </w14:solidFill>
          </w14:textFill>
        </w:rPr>
        <w:t>普通</w:t>
      </w:r>
      <w:r>
        <w:rPr>
          <w:rFonts w:hint="eastAsia" w:ascii="仿宋" w:hAnsi="仿宋" w:eastAsia="仿宋" w:cs="仿宋"/>
          <w:color w:val="000000" w:themeColor="text1"/>
          <w:sz w:val="30"/>
          <w:szCs w:val="30"/>
          <w:u w:val="none"/>
          <w14:textFill>
            <w14:solidFill>
              <w14:schemeClr w14:val="tx1"/>
            </w14:solidFill>
          </w14:textFill>
        </w:rPr>
        <w:t>本科教育为主，</w:t>
      </w:r>
      <w:r>
        <w:rPr>
          <w:rFonts w:hint="eastAsia" w:ascii="仿宋" w:hAnsi="仿宋" w:eastAsia="仿宋" w:cs="仿宋"/>
          <w:color w:val="FF0000"/>
          <w:sz w:val="30"/>
          <w:szCs w:val="30"/>
          <w:u w:val="none"/>
          <w:lang w:eastAsia="zh-CN"/>
        </w:rPr>
        <w:t>适度兼顾</w:t>
      </w:r>
      <w:r>
        <w:rPr>
          <w:rFonts w:hint="eastAsia" w:ascii="仿宋" w:hAnsi="仿宋" w:eastAsia="仿宋" w:cs="仿宋"/>
          <w:color w:val="000000" w:themeColor="text1"/>
          <w:sz w:val="30"/>
          <w:szCs w:val="30"/>
          <w:u w:val="none"/>
          <w14:textFill>
            <w14:solidFill>
              <w14:schemeClr w14:val="tx1"/>
            </w14:solidFill>
          </w14:textFill>
        </w:rPr>
        <w:t>专科教育，</w:t>
      </w:r>
      <w:r>
        <w:rPr>
          <w:rFonts w:hint="eastAsia" w:ascii="仿宋" w:hAnsi="仿宋" w:eastAsia="仿宋" w:cs="仿宋"/>
          <w:color w:val="000000" w:themeColor="text1"/>
          <w:sz w:val="30"/>
          <w:szCs w:val="30"/>
          <w:u w:val="none"/>
          <w:lang w:eastAsia="zh-CN"/>
          <w14:textFill>
            <w14:solidFill>
              <w14:schemeClr w14:val="tx1"/>
            </w14:solidFill>
          </w14:textFill>
        </w:rPr>
        <w:t>持续</w:t>
      </w:r>
      <w:r>
        <w:rPr>
          <w:rFonts w:hint="eastAsia" w:ascii="仿宋" w:hAnsi="仿宋" w:eastAsia="仿宋" w:cs="仿宋"/>
          <w:color w:val="000000" w:themeColor="text1"/>
          <w:sz w:val="30"/>
          <w:szCs w:val="30"/>
          <w:u w:val="none"/>
          <w14:textFill>
            <w14:solidFill>
              <w14:schemeClr w14:val="tx1"/>
            </w14:solidFill>
          </w14:textFill>
        </w:rPr>
        <w:t>发展继续教育，</w:t>
      </w:r>
      <w:r>
        <w:rPr>
          <w:rFonts w:hint="eastAsia" w:ascii="仿宋" w:hAnsi="仿宋" w:eastAsia="仿宋" w:cs="仿宋"/>
          <w:color w:val="0000FF"/>
          <w:sz w:val="30"/>
          <w:szCs w:val="30"/>
          <w:u w:val="none"/>
          <w:lang w:eastAsia="zh-CN"/>
        </w:rPr>
        <w:t>适时</w:t>
      </w:r>
      <w:r>
        <w:rPr>
          <w:rFonts w:hint="eastAsia" w:ascii="仿宋" w:hAnsi="仿宋" w:eastAsia="仿宋" w:cs="仿宋"/>
          <w:color w:val="0000FF"/>
          <w:sz w:val="30"/>
          <w:szCs w:val="30"/>
          <w:u w:val="none"/>
        </w:rPr>
        <w:t>申</w:t>
      </w:r>
      <w:r>
        <w:rPr>
          <w:rFonts w:hint="eastAsia" w:ascii="仿宋" w:hAnsi="仿宋" w:eastAsia="仿宋" w:cs="仿宋"/>
          <w:color w:val="0000FF"/>
          <w:sz w:val="30"/>
          <w:szCs w:val="30"/>
          <w:u w:val="none"/>
          <w:lang w:eastAsia="zh-CN"/>
        </w:rPr>
        <w:t>办</w:t>
      </w:r>
      <w:r>
        <w:rPr>
          <w:rFonts w:hint="eastAsia" w:ascii="仿宋" w:hAnsi="仿宋" w:eastAsia="仿宋" w:cs="仿宋"/>
          <w:color w:val="auto"/>
          <w:sz w:val="30"/>
          <w:szCs w:val="30"/>
          <w:u w:val="none"/>
        </w:rPr>
        <w:t>研究生教育。</w:t>
      </w:r>
      <w:bookmarkEnd w:id="29"/>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b w:val="0"/>
          <w:bCs w:val="0"/>
          <w:color w:val="000000" w:themeColor="text1"/>
          <w:sz w:val="30"/>
          <w:szCs w:val="30"/>
          <w:u w:val="none"/>
          <w:lang w:val="en-US" w:eastAsia="zh-CN"/>
          <w14:textFill>
            <w14:solidFill>
              <w14:schemeClr w14:val="tx1"/>
            </w14:solidFill>
          </w14:textFill>
        </w:rPr>
      </w:pPr>
      <w:bookmarkStart w:id="30" w:name="_Toc9563"/>
      <w:r>
        <w:rPr>
          <w:rFonts w:hint="eastAsia" w:ascii="仿宋" w:hAnsi="仿宋" w:eastAsia="仿宋" w:cs="仿宋"/>
          <w:b/>
          <w:bCs/>
          <w:color w:val="000000" w:themeColor="text1"/>
          <w:sz w:val="30"/>
          <w:szCs w:val="30"/>
          <w:u w:val="none"/>
          <w:lang w:val="en-US" w:eastAsia="zh-CN"/>
          <w14:textFill>
            <w14:solidFill>
              <w14:schemeClr w14:val="tx1"/>
            </w14:solidFill>
          </w14:textFill>
        </w:rPr>
        <w:t>4</w:t>
      </w:r>
      <w:r>
        <w:rPr>
          <w:rFonts w:hint="eastAsia" w:ascii="仿宋" w:hAnsi="仿宋" w:eastAsia="仿宋" w:cs="仿宋"/>
          <w:b/>
          <w:bCs/>
          <w:color w:val="000000" w:themeColor="text1"/>
          <w:sz w:val="30"/>
          <w:szCs w:val="30"/>
          <w:u w:val="none"/>
          <w14:textFill>
            <w14:solidFill>
              <w14:schemeClr w14:val="tx1"/>
            </w14:solidFill>
          </w14:textFill>
        </w:rPr>
        <w:t>.培养目标定位</w:t>
      </w:r>
      <w:r>
        <w:rPr>
          <w:rFonts w:hint="eastAsia" w:ascii="仿宋" w:hAnsi="仿宋" w:eastAsia="仿宋" w:cs="仿宋"/>
          <w:b/>
          <w:bCs/>
          <w:color w:val="000000" w:themeColor="text1"/>
          <w:sz w:val="30"/>
          <w:szCs w:val="30"/>
          <w:u w:val="none"/>
          <w:lang w:eastAsia="zh-CN"/>
          <w14:textFill>
            <w14:solidFill>
              <w14:schemeClr w14:val="tx1"/>
            </w14:solidFill>
          </w14:textFill>
        </w:rPr>
        <w:t>：</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培养立志服务“三农”，有一定理论基础、掌握新技术、具有较强实践能力、创新创业意识和责任意识,德智体美劳全面发展的本科层次高素质应用型人才。</w:t>
      </w:r>
      <w:bookmarkEnd w:id="30"/>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b w:val="0"/>
          <w:bCs w:val="0"/>
          <w:color w:val="000000" w:themeColor="text1"/>
          <w:sz w:val="30"/>
          <w:szCs w:val="30"/>
          <w:u w:val="none"/>
          <w:lang w:eastAsia="zh-CN"/>
          <w14:textFill>
            <w14:solidFill>
              <w14:schemeClr w14:val="tx1"/>
            </w14:solidFill>
          </w14:textFill>
        </w:rPr>
      </w:pPr>
      <w:bookmarkStart w:id="31" w:name="_Toc17022"/>
      <w:r>
        <w:rPr>
          <w:rFonts w:hint="eastAsia" w:ascii="仿宋" w:hAnsi="仿宋" w:eastAsia="仿宋" w:cs="仿宋"/>
          <w:b/>
          <w:bCs/>
          <w:color w:val="000000" w:themeColor="text1"/>
          <w:sz w:val="30"/>
          <w:szCs w:val="30"/>
          <w:u w:val="none"/>
          <w:lang w:val="en-US" w:eastAsia="zh-CN"/>
          <w14:textFill>
            <w14:solidFill>
              <w14:schemeClr w14:val="tx1"/>
            </w14:solidFill>
          </w14:textFill>
        </w:rPr>
        <w:t>5</w:t>
      </w:r>
      <w:r>
        <w:rPr>
          <w:rFonts w:hint="eastAsia" w:ascii="仿宋" w:hAnsi="仿宋" w:eastAsia="仿宋" w:cs="仿宋"/>
          <w:b/>
          <w:bCs/>
          <w:color w:val="000000" w:themeColor="text1"/>
          <w:sz w:val="30"/>
          <w:szCs w:val="30"/>
          <w:u w:val="none"/>
          <w:lang w:eastAsia="zh-CN"/>
          <w14:textFill>
            <w14:solidFill>
              <w14:schemeClr w14:val="tx1"/>
            </w14:solidFill>
          </w14:textFill>
        </w:rPr>
        <w:t>.学科专业定位</w:t>
      </w:r>
      <w:r>
        <w:rPr>
          <w:rFonts w:hint="eastAsia" w:ascii="仿宋" w:hAnsi="仿宋" w:eastAsia="仿宋" w:cs="仿宋"/>
          <w:b w:val="0"/>
          <w:bCs w:val="0"/>
          <w:color w:val="000000" w:themeColor="text1"/>
          <w:sz w:val="30"/>
          <w:szCs w:val="30"/>
          <w:u w:val="none"/>
          <w:lang w:eastAsia="zh-CN"/>
          <w14:textFill>
            <w14:solidFill>
              <w14:schemeClr w14:val="tx1"/>
            </w14:solidFill>
          </w14:textFill>
        </w:rPr>
        <w:t>：</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以“四新”（新农科、新工科、新文科、新医科）建设为导向，突出农林学科优势特色，构建以</w:t>
      </w:r>
      <w:r>
        <w:rPr>
          <w:rFonts w:hint="eastAsia" w:ascii="仿宋" w:hAnsi="仿宋" w:eastAsia="仿宋" w:cs="仿宋"/>
          <w:b w:val="0"/>
          <w:bCs w:val="0"/>
          <w:color w:val="FF0000"/>
          <w:sz w:val="30"/>
          <w:szCs w:val="30"/>
          <w:u w:val="none"/>
          <w:lang w:val="en-US" w:eastAsia="zh-CN"/>
        </w:rPr>
        <w:t>应用型专业为主体</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，农、工、管、文、理、艺术等多学科交叉融合、协调发展的学科专业体系。</w:t>
      </w:r>
      <w:bookmarkEnd w:id="31"/>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b w:val="0"/>
          <w:bCs w:val="0"/>
          <w:color w:val="000000" w:themeColor="text1"/>
          <w:sz w:val="30"/>
          <w:szCs w:val="30"/>
          <w:u w:val="none"/>
          <w:lang w:eastAsia="zh-CN"/>
          <w14:textFill>
            <w14:solidFill>
              <w14:schemeClr w14:val="tx1"/>
            </w14:solidFill>
          </w14:textFill>
        </w:rPr>
      </w:pPr>
      <w:bookmarkStart w:id="32" w:name="_Toc11230"/>
      <w:r>
        <w:rPr>
          <w:rFonts w:hint="eastAsia" w:ascii="仿宋" w:hAnsi="仿宋" w:eastAsia="仿宋" w:cs="仿宋"/>
          <w:b/>
          <w:bCs/>
          <w:color w:val="000000" w:themeColor="text1"/>
          <w:sz w:val="30"/>
          <w:szCs w:val="30"/>
          <w:u w:val="none"/>
          <w:lang w:val="en-US" w:eastAsia="zh-CN"/>
          <w14:textFill>
            <w14:solidFill>
              <w14:schemeClr w14:val="tx1"/>
            </w14:solidFill>
          </w14:textFill>
        </w:rPr>
        <w:t>6</w:t>
      </w:r>
      <w:r>
        <w:rPr>
          <w:rFonts w:hint="eastAsia" w:ascii="仿宋" w:hAnsi="仿宋" w:eastAsia="仿宋" w:cs="仿宋"/>
          <w:b/>
          <w:bCs/>
          <w:color w:val="000000" w:themeColor="text1"/>
          <w:sz w:val="30"/>
          <w:szCs w:val="30"/>
          <w:u w:val="none"/>
          <w14:textFill>
            <w14:solidFill>
              <w14:schemeClr w14:val="tx1"/>
            </w14:solidFill>
          </w14:textFill>
        </w:rPr>
        <w:t>.服务面向定位</w:t>
      </w:r>
      <w:r>
        <w:rPr>
          <w:rFonts w:hint="eastAsia" w:ascii="仿宋" w:hAnsi="仿宋" w:eastAsia="仿宋" w:cs="仿宋"/>
          <w:b/>
          <w:bCs/>
          <w:color w:val="000000" w:themeColor="text1"/>
          <w:sz w:val="30"/>
          <w:szCs w:val="30"/>
          <w:u w:val="none"/>
          <w:lang w:eastAsia="zh-CN"/>
          <w14:textFill>
            <w14:solidFill>
              <w14:schemeClr w14:val="tx1"/>
            </w14:solidFill>
          </w14:textFill>
        </w:rPr>
        <w:t>：</w:t>
      </w:r>
      <w:r>
        <w:rPr>
          <w:rFonts w:hint="eastAsia" w:ascii="仿宋" w:hAnsi="仿宋" w:eastAsia="仿宋" w:cs="仿宋"/>
          <w:b w:val="0"/>
          <w:bCs w:val="0"/>
          <w:color w:val="FF0000"/>
          <w:sz w:val="30"/>
          <w:szCs w:val="30"/>
          <w:u w:val="none"/>
          <w:lang w:eastAsia="zh-CN"/>
        </w:rPr>
        <w:t>植根</w:t>
      </w:r>
      <w:r>
        <w:rPr>
          <w:rFonts w:hint="eastAsia" w:ascii="仿宋" w:hAnsi="仿宋" w:eastAsia="仿宋" w:cs="仿宋"/>
          <w:b w:val="0"/>
          <w:bCs w:val="0"/>
          <w:color w:val="FF0000"/>
          <w:sz w:val="30"/>
          <w:szCs w:val="30"/>
          <w:u w:val="none"/>
        </w:rPr>
        <w:t>信阳</w:t>
      </w:r>
      <w:r>
        <w:rPr>
          <w:rFonts w:hint="eastAsia" w:ascii="仿宋" w:hAnsi="仿宋" w:eastAsia="仿宋" w:cs="仿宋"/>
          <w:b w:val="0"/>
          <w:bCs w:val="0"/>
          <w:color w:val="FF0000"/>
          <w:sz w:val="30"/>
          <w:szCs w:val="30"/>
          <w:u w:val="none"/>
          <w:lang w:eastAsia="zh-CN"/>
        </w:rPr>
        <w:t>和大别山区，面向河南，辐射全国，</w:t>
      </w:r>
      <w:r>
        <w:rPr>
          <w:rFonts w:hint="eastAsia" w:ascii="仿宋" w:hAnsi="仿宋" w:eastAsia="仿宋" w:cs="仿宋"/>
          <w:b w:val="0"/>
          <w:bCs w:val="0"/>
          <w:color w:val="000000" w:themeColor="text1"/>
          <w:sz w:val="30"/>
          <w:szCs w:val="30"/>
          <w:u w:val="none"/>
          <w:lang w:eastAsia="zh-CN"/>
          <w14:textFill>
            <w14:solidFill>
              <w14:schemeClr w14:val="tx1"/>
            </w14:solidFill>
          </w14:textFill>
        </w:rPr>
        <w:t>服务行业产业、</w:t>
      </w:r>
      <w:r>
        <w:rPr>
          <w:rFonts w:hint="eastAsia" w:ascii="仿宋" w:hAnsi="仿宋" w:eastAsia="仿宋" w:cs="仿宋"/>
          <w:b w:val="0"/>
          <w:bCs w:val="0"/>
          <w:color w:val="FF0000"/>
          <w:sz w:val="30"/>
          <w:szCs w:val="30"/>
          <w:u w:val="none"/>
          <w:lang w:eastAsia="zh-CN"/>
        </w:rPr>
        <w:t>乡村振兴</w:t>
      </w:r>
      <w:r>
        <w:rPr>
          <w:rFonts w:hint="eastAsia" w:ascii="仿宋" w:hAnsi="仿宋" w:eastAsia="仿宋" w:cs="仿宋"/>
          <w:b w:val="0"/>
          <w:bCs w:val="0"/>
          <w:color w:val="000000" w:themeColor="text1"/>
          <w:sz w:val="30"/>
          <w:szCs w:val="30"/>
          <w:u w:val="none"/>
          <w:lang w:eastAsia="zh-CN"/>
          <w14:textFill>
            <w14:solidFill>
              <w14:schemeClr w14:val="tx1"/>
            </w14:solidFill>
          </w14:textFill>
        </w:rPr>
        <w:t>和区域经济社会发展。</w:t>
      </w:r>
      <w:bookmarkEnd w:id="32"/>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1"/>
        <w:rPr>
          <w:rFonts w:hint="eastAsia" w:ascii="仿宋" w:hAnsi="仿宋" w:eastAsia="仿宋" w:cs="仿宋"/>
          <w:color w:val="000000" w:themeColor="text1"/>
          <w:sz w:val="30"/>
          <w:szCs w:val="30"/>
          <w:u w:val="none"/>
          <w:lang w:val="en-US" w:eastAsia="zh-CN"/>
          <w14:textFill>
            <w14:solidFill>
              <w14:schemeClr w14:val="tx1"/>
            </w14:solidFill>
          </w14:textFill>
        </w:rPr>
      </w:pPr>
      <w:bookmarkStart w:id="33" w:name="_Toc26517"/>
      <w:r>
        <w:rPr>
          <w:rFonts w:hint="eastAsia" w:ascii="仿宋" w:hAnsi="仿宋" w:eastAsia="仿宋" w:cs="仿宋"/>
          <w:b/>
          <w:bCs/>
          <w:color w:val="000000" w:themeColor="text1"/>
          <w:sz w:val="30"/>
          <w:szCs w:val="30"/>
          <w:u w:val="none"/>
          <w:lang w:val="en-US" w:eastAsia="zh-CN"/>
          <w14:textFill>
            <w14:solidFill>
              <w14:schemeClr w14:val="tx1"/>
            </w14:solidFill>
          </w14:textFill>
        </w:rPr>
        <w:t>（三）发展思路</w:t>
      </w:r>
      <w:bookmarkEnd w:id="33"/>
    </w:p>
    <w:p>
      <w:pPr>
        <w:keepNext w:val="0"/>
        <w:keepLines w:val="0"/>
        <w:pageBreakBefore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夯实</w:t>
      </w:r>
      <w:r>
        <w:rPr>
          <w:rFonts w:hint="eastAsia" w:ascii="仿宋" w:hAnsi="仿宋" w:eastAsia="仿宋" w:cs="仿宋"/>
          <w:b/>
          <w:bCs/>
          <w:color w:val="000000" w:themeColor="text1"/>
          <w:sz w:val="30"/>
          <w:szCs w:val="30"/>
          <w:u w:val="none"/>
          <w:lang w:val="en-US" w:eastAsia="zh-CN"/>
          <w14:textFill>
            <w14:solidFill>
              <w14:schemeClr w14:val="tx1"/>
            </w14:solidFill>
          </w14:textFill>
        </w:rPr>
        <w:t>“一个基础”</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以立德树人为根本，以强农兴农为己任，以教育部本科教学工作合格评估为契机，</w:t>
      </w:r>
      <w:r>
        <w:rPr>
          <w:rFonts w:hint="eastAsia" w:ascii="仿宋" w:hAnsi="仿宋" w:eastAsia="仿宋" w:cs="仿宋"/>
          <w:color w:val="0000FF"/>
          <w:sz w:val="30"/>
          <w:szCs w:val="30"/>
        </w:rPr>
        <w:t>全面深化改革，注重内涵建设，凸显农林特色，实现高质量发展，</w:t>
      </w:r>
      <w:r>
        <w:rPr>
          <w:rFonts w:hint="eastAsia" w:ascii="仿宋" w:hAnsi="仿宋" w:eastAsia="仿宋" w:cs="仿宋"/>
          <w:color w:val="000000" w:themeColor="text1"/>
          <w:sz w:val="30"/>
          <w:szCs w:val="30"/>
          <w:u w:val="none"/>
          <w:lang w:val="en-US" w:eastAsia="zh-CN"/>
          <w14:textFill>
            <w14:solidFill>
              <w14:schemeClr w14:val="tx1"/>
            </w14:solidFill>
          </w14:textFill>
        </w:rPr>
        <w:t>为建设特色鲜明的应用型本科高校奠定</w:t>
      </w:r>
      <w:r>
        <w:rPr>
          <w:rFonts w:hint="eastAsia" w:ascii="仿宋" w:hAnsi="仿宋" w:eastAsia="仿宋" w:cs="仿宋"/>
          <w:color w:val="000000" w:themeColor="text1"/>
          <w:spacing w:val="7"/>
          <w:kern w:val="2"/>
          <w:sz w:val="30"/>
          <w:szCs w:val="30"/>
          <w:u w:val="none"/>
          <w:lang w:val="en-US" w:eastAsia="zh-CN" w:bidi="ar-SA"/>
          <w14:textFill>
            <w14:solidFill>
              <w14:schemeClr w14:val="tx1"/>
            </w14:solidFill>
          </w14:textFill>
        </w:rPr>
        <w:t>基础</w:t>
      </w:r>
      <w:r>
        <w:rPr>
          <w:rFonts w:hint="eastAsia" w:ascii="仿宋" w:hAnsi="仿宋" w:eastAsia="仿宋" w:cs="仿宋"/>
          <w:color w:val="000000" w:themeColor="text1"/>
          <w:sz w:val="30"/>
          <w:szCs w:val="30"/>
          <w:u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突出</w:t>
      </w:r>
      <w:r>
        <w:rPr>
          <w:rFonts w:hint="eastAsia" w:ascii="仿宋" w:hAnsi="仿宋" w:eastAsia="仿宋" w:cs="仿宋"/>
          <w:b/>
          <w:bCs/>
          <w:color w:val="000000" w:themeColor="text1"/>
          <w:sz w:val="30"/>
          <w:szCs w:val="30"/>
          <w:u w:val="none"/>
          <w:lang w:val="en-US" w:eastAsia="zh-CN"/>
          <w14:textFill>
            <w14:solidFill>
              <w14:schemeClr w14:val="tx1"/>
            </w14:solidFill>
          </w14:textFill>
        </w:rPr>
        <w:t>“二项重点”</w:t>
      </w:r>
      <w:r>
        <w:rPr>
          <w:rFonts w:hint="eastAsia" w:ascii="仿宋" w:hAnsi="仿宋" w:eastAsia="仿宋" w:cs="仿宋"/>
          <w:color w:val="000000" w:themeColor="text1"/>
          <w:sz w:val="30"/>
          <w:szCs w:val="30"/>
          <w:u w:val="none"/>
          <w:lang w:val="en-US" w:eastAsia="zh-CN"/>
          <w14:textFill>
            <w14:solidFill>
              <w14:schemeClr w14:val="tx1"/>
            </w14:solidFill>
          </w14:textFill>
        </w:rPr>
        <w:t>：</w:t>
      </w:r>
      <w:r>
        <w:rPr>
          <w:rFonts w:hint="eastAsia" w:ascii="仿宋" w:hAnsi="仿宋" w:eastAsia="仿宋" w:cs="仿宋"/>
          <w:color w:val="FF0000"/>
          <w:sz w:val="30"/>
          <w:szCs w:val="30"/>
          <w:u w:val="none"/>
          <w:lang w:val="en-US" w:eastAsia="zh-CN"/>
        </w:rPr>
        <w:t>推进</w:t>
      </w:r>
      <w:r>
        <w:rPr>
          <w:rFonts w:hint="eastAsia" w:ascii="仿宋" w:hAnsi="仿宋" w:eastAsia="仿宋" w:cs="仿宋"/>
          <w:b w:val="0"/>
          <w:bCs w:val="0"/>
          <w:color w:val="FF0000"/>
          <w:sz w:val="30"/>
          <w:szCs w:val="30"/>
          <w:u w:val="none"/>
          <w:lang w:val="en-US" w:eastAsia="zh-CN"/>
        </w:rPr>
        <w:t>产学研合作育人质量</w:t>
      </w:r>
      <w:r>
        <w:rPr>
          <w:rFonts w:hint="eastAsia" w:ascii="仿宋" w:hAnsi="仿宋" w:eastAsia="仿宋" w:cs="仿宋"/>
          <w:color w:val="FF0000"/>
          <w:sz w:val="30"/>
          <w:szCs w:val="30"/>
          <w:u w:val="none"/>
          <w:lang w:val="en-US" w:eastAsia="zh-CN"/>
        </w:rPr>
        <w:t>工程建设</w:t>
      </w:r>
      <w:r>
        <w:rPr>
          <w:rFonts w:hint="eastAsia" w:ascii="仿宋" w:hAnsi="仿宋" w:eastAsia="仿宋" w:cs="仿宋"/>
          <w:color w:val="000000" w:themeColor="text1"/>
          <w:sz w:val="30"/>
          <w:szCs w:val="30"/>
          <w:u w:val="none"/>
          <w:lang w:val="en-US" w:eastAsia="zh-CN"/>
          <w14:textFill>
            <w14:solidFill>
              <w14:schemeClr w14:val="tx1"/>
            </w14:solidFill>
          </w14:textFill>
        </w:rPr>
        <w:t>；</w:t>
      </w:r>
      <w:r>
        <w:rPr>
          <w:rFonts w:hint="eastAsia" w:ascii="仿宋" w:hAnsi="仿宋" w:eastAsia="仿宋" w:cs="仿宋"/>
          <w:b w:val="0"/>
          <w:bCs w:val="0"/>
          <w:color w:val="FF0000"/>
          <w:sz w:val="30"/>
          <w:szCs w:val="30"/>
          <w:u w:val="none"/>
          <w:lang w:val="en-US" w:eastAsia="zh-CN"/>
        </w:rPr>
        <w:t>提升服务区域行业产业和乡村振兴的能力与水平</w:t>
      </w:r>
      <w:r>
        <w:rPr>
          <w:rFonts w:hint="eastAsia" w:ascii="仿宋" w:hAnsi="仿宋" w:eastAsia="仿宋" w:cs="仿宋"/>
          <w:color w:val="000000" w:themeColor="text1"/>
          <w:sz w:val="30"/>
          <w:szCs w:val="30"/>
          <w:u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推进</w:t>
      </w:r>
      <w:r>
        <w:rPr>
          <w:rFonts w:hint="eastAsia" w:ascii="仿宋" w:hAnsi="仿宋" w:eastAsia="仿宋" w:cs="仿宋"/>
          <w:b/>
          <w:bCs/>
          <w:color w:val="000000" w:themeColor="text1"/>
          <w:sz w:val="30"/>
          <w:szCs w:val="30"/>
          <w:u w:val="none"/>
          <w:lang w:val="en-US" w:eastAsia="zh-CN"/>
          <w14:textFill>
            <w14:solidFill>
              <w14:schemeClr w14:val="tx1"/>
            </w14:solidFill>
          </w14:textFill>
        </w:rPr>
        <w:t>“三大改革”</w:t>
      </w:r>
      <w:r>
        <w:rPr>
          <w:rFonts w:hint="eastAsia" w:ascii="仿宋" w:hAnsi="仿宋" w:eastAsia="仿宋" w:cs="仿宋"/>
          <w:color w:val="000000" w:themeColor="text1"/>
          <w:sz w:val="30"/>
          <w:szCs w:val="30"/>
          <w:u w:val="none"/>
          <w:lang w:val="en-US" w:eastAsia="zh-CN"/>
          <w14:textFill>
            <w14:solidFill>
              <w14:schemeClr w14:val="tx1"/>
            </w14:solidFill>
          </w14:textFill>
        </w:rPr>
        <w:t>：以“四新”建设为导向，推进</w:t>
      </w:r>
      <w:r>
        <w:rPr>
          <w:rFonts w:hint="eastAsia" w:ascii="仿宋" w:hAnsi="仿宋" w:eastAsia="仿宋" w:cs="仿宋"/>
          <w:color w:val="0000FF"/>
          <w:sz w:val="30"/>
          <w:szCs w:val="30"/>
          <w:u w:val="none"/>
          <w:lang w:val="en-US" w:eastAsia="zh-CN"/>
        </w:rPr>
        <w:t>以</w:t>
      </w:r>
      <w:r>
        <w:rPr>
          <w:rFonts w:hint="eastAsia" w:ascii="仿宋" w:hAnsi="仿宋" w:eastAsia="仿宋" w:cs="仿宋"/>
          <w:color w:val="000000" w:themeColor="text1"/>
          <w:sz w:val="30"/>
          <w:szCs w:val="30"/>
          <w:u w:val="none"/>
          <w:lang w:val="en-US" w:eastAsia="zh-CN"/>
          <w14:textFill>
            <w14:solidFill>
              <w14:schemeClr w14:val="tx1"/>
            </w14:solidFill>
          </w14:textFill>
        </w:rPr>
        <w:t>产教融合校企协同育人为核心的应用型人才培养模式改革；以服务地方</w:t>
      </w:r>
      <w:r>
        <w:rPr>
          <w:rFonts w:hint="eastAsia" w:ascii="仿宋" w:hAnsi="仿宋" w:eastAsia="仿宋" w:cs="仿宋"/>
          <w:color w:val="0000FF"/>
          <w:sz w:val="30"/>
          <w:szCs w:val="30"/>
          <w:u w:val="none"/>
          <w:lang w:val="en-US" w:eastAsia="zh-CN"/>
        </w:rPr>
        <w:t>经济社会</w:t>
      </w:r>
      <w:r>
        <w:rPr>
          <w:rFonts w:hint="eastAsia" w:ascii="仿宋" w:hAnsi="仿宋" w:eastAsia="仿宋" w:cs="仿宋"/>
          <w:color w:val="000000" w:themeColor="text1"/>
          <w:sz w:val="30"/>
          <w:szCs w:val="30"/>
          <w:u w:val="none"/>
          <w:lang w:val="en-US" w:eastAsia="zh-CN"/>
          <w14:textFill>
            <w14:solidFill>
              <w14:schemeClr w14:val="tx1"/>
            </w14:solidFill>
          </w14:textFill>
        </w:rPr>
        <w:t>发展需求为支撑，推进开放办学和科技服务供给侧改革；以现代大学治理能力提升为目标，推进学校</w:t>
      </w:r>
      <w:r>
        <w:rPr>
          <w:rFonts w:hint="eastAsia" w:ascii="仿宋" w:hAnsi="仿宋" w:eastAsia="仿宋" w:cs="仿宋"/>
          <w:color w:val="0000FF"/>
          <w:sz w:val="30"/>
          <w:szCs w:val="30"/>
          <w:u w:val="none"/>
          <w:lang w:val="en-US" w:eastAsia="zh-CN"/>
        </w:rPr>
        <w:t>治理</w:t>
      </w:r>
      <w:r>
        <w:rPr>
          <w:rFonts w:hint="eastAsia" w:ascii="仿宋" w:hAnsi="仿宋" w:eastAsia="仿宋" w:cs="仿宋"/>
          <w:color w:val="000000" w:themeColor="text1"/>
          <w:sz w:val="30"/>
          <w:szCs w:val="30"/>
          <w:u w:val="none"/>
          <w:lang w:val="en-US" w:eastAsia="zh-CN"/>
          <w14:textFill>
            <w14:solidFill>
              <w14:schemeClr w14:val="tx1"/>
            </w14:solidFill>
          </w14:textFill>
        </w:rPr>
        <w:t>体制机制改革。</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实施</w:t>
      </w:r>
      <w:r>
        <w:rPr>
          <w:rFonts w:hint="eastAsia" w:ascii="仿宋" w:hAnsi="仿宋" w:eastAsia="仿宋" w:cs="仿宋"/>
          <w:b/>
          <w:bCs/>
          <w:color w:val="000000" w:themeColor="text1"/>
          <w:sz w:val="30"/>
          <w:szCs w:val="30"/>
          <w:u w:val="none"/>
          <w:lang w:val="en-US" w:eastAsia="zh-CN"/>
          <w14:textFill>
            <w14:solidFill>
              <w14:schemeClr w14:val="tx1"/>
            </w14:solidFill>
          </w14:textFill>
        </w:rPr>
        <w:t>“五大工程”</w:t>
      </w:r>
      <w:r>
        <w:rPr>
          <w:rFonts w:hint="eastAsia" w:ascii="仿宋" w:hAnsi="仿宋" w:eastAsia="仿宋" w:cs="仿宋"/>
          <w:color w:val="000000" w:themeColor="text1"/>
          <w:sz w:val="30"/>
          <w:szCs w:val="30"/>
          <w:u w:val="none"/>
          <w:lang w:val="en-US" w:eastAsia="zh-CN"/>
          <w14:textFill>
            <w14:solidFill>
              <w14:schemeClr w14:val="tx1"/>
            </w14:solidFill>
          </w14:textFill>
        </w:rPr>
        <w:t>：以应用型人才培养为</w:t>
      </w:r>
      <w:r>
        <w:rPr>
          <w:rFonts w:hint="eastAsia" w:ascii="仿宋" w:hAnsi="仿宋" w:eastAsia="仿宋" w:cs="仿宋"/>
          <w:color w:val="0000FF"/>
          <w:sz w:val="30"/>
          <w:szCs w:val="30"/>
          <w:u w:val="none"/>
          <w:lang w:val="en-US" w:eastAsia="zh-CN"/>
        </w:rPr>
        <w:t>目标</w:t>
      </w:r>
      <w:r>
        <w:rPr>
          <w:rFonts w:hint="eastAsia" w:ascii="仿宋" w:hAnsi="仿宋" w:eastAsia="仿宋" w:cs="仿宋"/>
          <w:color w:val="000000" w:themeColor="text1"/>
          <w:sz w:val="30"/>
          <w:szCs w:val="30"/>
          <w:u w:val="none"/>
          <w:lang w:val="en-US" w:eastAsia="zh-CN"/>
          <w14:textFill>
            <w14:solidFill>
              <w14:schemeClr w14:val="tx1"/>
            </w14:solidFill>
          </w14:textFill>
        </w:rPr>
        <w:t>，实施专业建设质量提升工程；以师资队伍建设为重点，实施引才育才人才强校工程；以管理体制机制创新为抓手，实施校院两级管理</w:t>
      </w:r>
      <w:r>
        <w:rPr>
          <w:rFonts w:hint="eastAsia" w:ascii="仿宋" w:hAnsi="仿宋" w:eastAsia="仿宋" w:cs="仿宋"/>
          <w:color w:val="0000FF"/>
          <w:sz w:val="30"/>
          <w:szCs w:val="30"/>
          <w:u w:val="none"/>
          <w:lang w:val="en-US" w:eastAsia="zh-CN"/>
        </w:rPr>
        <w:t>模式</w:t>
      </w:r>
      <w:r>
        <w:rPr>
          <w:rFonts w:hint="eastAsia" w:ascii="仿宋" w:hAnsi="仿宋" w:eastAsia="仿宋" w:cs="仿宋"/>
          <w:color w:val="000000" w:themeColor="text1"/>
          <w:sz w:val="30"/>
          <w:szCs w:val="30"/>
          <w:u w:val="none"/>
          <w:lang w:val="en-US" w:eastAsia="zh-CN"/>
          <w14:textFill>
            <w14:solidFill>
              <w14:schemeClr w14:val="tx1"/>
            </w14:solidFill>
          </w14:textFill>
        </w:rPr>
        <w:t>改革工程；以学校二期建设为契机，实施办学条件保障工程；以校园文化建设为支撑，实施文化育人引领工程。</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1"/>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34" w:name="_Toc24158"/>
      <w:r>
        <w:rPr>
          <w:rFonts w:hint="eastAsia" w:ascii="仿宋" w:hAnsi="仿宋" w:eastAsia="仿宋" w:cs="仿宋"/>
          <w:b/>
          <w:bCs/>
          <w:color w:val="000000" w:themeColor="text1"/>
          <w:sz w:val="30"/>
          <w:szCs w:val="30"/>
          <w:u w:val="none"/>
          <w:lang w:val="en-US" w:eastAsia="zh-CN"/>
          <w14:textFill>
            <w14:solidFill>
              <w14:schemeClr w14:val="tx1"/>
            </w14:solidFill>
          </w14:textFill>
        </w:rPr>
        <w:t>（四）发展目标</w:t>
      </w:r>
      <w:bookmarkEnd w:id="34"/>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FF0000"/>
          <w:sz w:val="30"/>
          <w:szCs w:val="30"/>
          <w:u w:val="none"/>
          <w:lang w:val="en-US" w:eastAsia="zh-CN"/>
        </w:rPr>
      </w:pPr>
      <w:bookmarkStart w:id="35" w:name="_Toc2022"/>
      <w:r>
        <w:rPr>
          <w:rFonts w:hint="eastAsia" w:ascii="仿宋" w:hAnsi="仿宋" w:eastAsia="仿宋" w:cs="仿宋"/>
          <w:b/>
          <w:color w:val="FF0000"/>
          <w:kern w:val="0"/>
          <w:sz w:val="30"/>
          <w:szCs w:val="30"/>
          <w:u w:val="none"/>
          <w:lang w:val="en-US" w:eastAsia="zh-CN" w:bidi="ar"/>
        </w:rPr>
        <w:t>1.</w:t>
      </w:r>
      <w:r>
        <w:rPr>
          <w:rFonts w:hint="eastAsia" w:ascii="仿宋" w:hAnsi="仿宋" w:eastAsia="仿宋" w:cs="仿宋"/>
          <w:b/>
          <w:bCs/>
          <w:color w:val="FF0000"/>
          <w:sz w:val="30"/>
          <w:szCs w:val="30"/>
          <w:u w:val="none"/>
          <w:lang w:val="en-US" w:eastAsia="zh-CN"/>
        </w:rPr>
        <w:t>“十四五”发展目标</w:t>
      </w:r>
      <w:bookmarkEnd w:id="35"/>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outlineLvl w:val="2"/>
        <w:rPr>
          <w:rFonts w:hint="eastAsia" w:ascii="仿宋" w:hAnsi="仿宋" w:eastAsia="仿宋" w:cs="仿宋"/>
          <w:color w:val="0000FF"/>
          <w:sz w:val="30"/>
          <w:szCs w:val="30"/>
          <w:u w:val="none"/>
          <w:lang w:val="en-US" w:eastAsia="zh-CN"/>
        </w:rPr>
      </w:pPr>
      <w:bookmarkStart w:id="36" w:name="_Toc32406"/>
      <w:r>
        <w:rPr>
          <w:rFonts w:hint="eastAsia" w:ascii="仿宋" w:hAnsi="仿宋" w:eastAsia="仿宋" w:cs="仿宋"/>
          <w:color w:val="000000" w:themeColor="text1"/>
          <w:sz w:val="30"/>
          <w:szCs w:val="30"/>
          <w:u w:val="none"/>
          <w:lang w:val="en-US" w:eastAsia="zh-CN"/>
          <w14:textFill>
            <w14:solidFill>
              <w14:schemeClr w14:val="tx1"/>
            </w14:solidFill>
          </w14:textFill>
        </w:rPr>
        <w:t>强化以评促建，顺利通过本科教学工作合格评估</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，总体办学实力和育人质量得到明显提升，</w:t>
      </w:r>
      <w:r>
        <w:rPr>
          <w:rFonts w:hint="eastAsia" w:ascii="仿宋" w:hAnsi="仿宋" w:eastAsia="仿宋" w:cs="仿宋"/>
          <w:b w:val="0"/>
          <w:bCs w:val="0"/>
          <w:color w:val="FF0000"/>
          <w:sz w:val="30"/>
          <w:szCs w:val="30"/>
          <w:u w:val="none"/>
          <w:lang w:val="en-US" w:eastAsia="zh-CN"/>
        </w:rPr>
        <w:t>转型发展取得重大进展</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新农科建设形成比较优势，工学、管理学、文学、艺术学、理学等学科专业建设成效更加明显；应用型人才培养模式改革成果突出，人才培养质量明显提升；科技创新和社会服务能力充分彰显，支撑地方经济社会发展实力明显提升；内部治理体系与管理模式改革成效显著，人才强校战略取得重要</w:t>
      </w:r>
      <w:r>
        <w:rPr>
          <w:rFonts w:hint="eastAsia" w:ascii="仿宋" w:hAnsi="仿宋" w:eastAsia="仿宋" w:cs="仿宋"/>
          <w:b w:val="0"/>
          <w:bCs w:val="0"/>
          <w:color w:val="0000FF"/>
          <w:sz w:val="30"/>
          <w:szCs w:val="30"/>
          <w:u w:val="none"/>
          <w:lang w:val="en-US" w:eastAsia="zh-CN"/>
        </w:rPr>
        <w:t>成效</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，办学保障能力显著增强，布局合理、功能完善、环境优美、文明和谐校园基本建成；办学特色</w:t>
      </w:r>
      <w:r>
        <w:rPr>
          <w:rFonts w:hint="eastAsia" w:ascii="仿宋" w:hAnsi="仿宋" w:eastAsia="仿宋" w:cs="仿宋"/>
          <w:b w:val="0"/>
          <w:bCs w:val="0"/>
          <w:color w:val="0000FF"/>
          <w:sz w:val="30"/>
          <w:szCs w:val="30"/>
          <w:u w:val="none"/>
          <w:lang w:val="en-US" w:eastAsia="zh-CN"/>
        </w:rPr>
        <w:t>更加</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鲜明，核心竞争力与社会影响力及师生获得感明显</w:t>
      </w:r>
      <w:r>
        <w:rPr>
          <w:rFonts w:hint="eastAsia" w:ascii="仿宋" w:hAnsi="仿宋" w:eastAsia="仿宋" w:cs="仿宋"/>
          <w:color w:val="000000" w:themeColor="text1"/>
          <w:sz w:val="30"/>
          <w:szCs w:val="30"/>
          <w:u w:val="none"/>
          <w:lang w:val="en-US" w:eastAsia="zh-CN"/>
          <w14:textFill>
            <w14:solidFill>
              <w14:schemeClr w14:val="tx1"/>
            </w14:solidFill>
          </w14:textFill>
        </w:rPr>
        <w:t>增强，</w:t>
      </w:r>
      <w:r>
        <w:rPr>
          <w:rFonts w:hint="eastAsia" w:ascii="仿宋" w:hAnsi="仿宋" w:eastAsia="仿宋" w:cs="仿宋"/>
          <w:color w:val="0000FF"/>
          <w:sz w:val="30"/>
          <w:szCs w:val="30"/>
        </w:rPr>
        <w:t>初步建成</w:t>
      </w:r>
      <w:r>
        <w:rPr>
          <w:rFonts w:hint="eastAsia" w:ascii="仿宋" w:hAnsi="仿宋" w:eastAsia="仿宋" w:cs="仿宋"/>
          <w:color w:val="0000FF"/>
          <w:sz w:val="30"/>
          <w:szCs w:val="30"/>
          <w:lang w:eastAsia="zh-CN"/>
        </w:rPr>
        <w:t>在省内外有一定影响力和知名度的地方</w:t>
      </w:r>
      <w:r>
        <w:rPr>
          <w:rFonts w:hint="eastAsia" w:ascii="仿宋" w:hAnsi="仿宋" w:eastAsia="仿宋" w:cs="仿宋"/>
          <w:color w:val="0000FF"/>
          <w:sz w:val="30"/>
          <w:szCs w:val="30"/>
        </w:rPr>
        <w:t>应用型高校</w:t>
      </w:r>
      <w:r>
        <w:rPr>
          <w:rFonts w:hint="eastAsia" w:ascii="仿宋" w:hAnsi="仿宋" w:eastAsia="仿宋" w:cs="仿宋"/>
          <w:color w:val="0000FF"/>
          <w:sz w:val="30"/>
          <w:szCs w:val="30"/>
          <w:u w:val="none"/>
          <w:lang w:val="en-US" w:eastAsia="zh-CN"/>
        </w:rPr>
        <w:t>。</w:t>
      </w:r>
      <w:bookmarkEnd w:id="36"/>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200"/>
        <w:jc w:val="both"/>
        <w:textAlignment w:val="auto"/>
        <w:outlineLvl w:val="2"/>
        <w:rPr>
          <w:rFonts w:hint="eastAsia" w:ascii="仿宋" w:hAnsi="仿宋" w:eastAsia="仿宋" w:cs="仿宋"/>
          <w:b/>
          <w:bCs/>
          <w:color w:val="FF0000"/>
          <w:sz w:val="30"/>
          <w:szCs w:val="30"/>
          <w:u w:val="none"/>
          <w:lang w:val="en-US" w:eastAsia="zh-CN"/>
        </w:rPr>
      </w:pPr>
      <w:bookmarkStart w:id="37" w:name="_Toc10717"/>
      <w:r>
        <w:rPr>
          <w:rFonts w:hint="eastAsia" w:ascii="仿宋" w:hAnsi="仿宋" w:eastAsia="仿宋" w:cs="仿宋"/>
          <w:b/>
          <w:bCs/>
          <w:color w:val="FF0000"/>
          <w:sz w:val="30"/>
          <w:szCs w:val="30"/>
          <w:u w:val="none"/>
          <w:lang w:val="en-US" w:eastAsia="zh-CN"/>
        </w:rPr>
        <w:t>2.中长期发展愿景</w:t>
      </w:r>
      <w:bookmarkEnd w:id="37"/>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both"/>
        <w:textAlignment w:val="auto"/>
        <w:outlineLvl w:val="2"/>
        <w:rPr>
          <w:rFonts w:hint="eastAsia" w:ascii="仿宋" w:hAnsi="仿宋" w:eastAsia="仿宋" w:cs="仿宋"/>
          <w:color w:val="FF0000"/>
          <w:sz w:val="30"/>
          <w:szCs w:val="30"/>
          <w:u w:val="none"/>
          <w:lang w:val="en-US" w:eastAsia="zh-CN"/>
        </w:rPr>
      </w:pPr>
      <w:bookmarkStart w:id="38" w:name="_Toc32373"/>
      <w:r>
        <w:rPr>
          <w:rFonts w:hint="eastAsia" w:ascii="仿宋" w:hAnsi="仿宋" w:eastAsia="仿宋" w:cs="仿宋"/>
          <w:color w:val="FF0000"/>
          <w:sz w:val="30"/>
          <w:szCs w:val="30"/>
          <w:u w:val="none"/>
          <w:lang w:val="en-US" w:eastAsia="zh-CN"/>
        </w:rPr>
        <w:t>到2030年，内涵建设成效更加明显，办学条件比较完善，</w:t>
      </w:r>
      <w:r>
        <w:rPr>
          <w:rFonts w:hint="eastAsia" w:ascii="仿宋" w:hAnsi="仿宋" w:eastAsia="仿宋" w:cs="仿宋"/>
          <w:color w:val="0000FF"/>
          <w:sz w:val="30"/>
          <w:szCs w:val="30"/>
          <w:u w:val="none"/>
          <w:lang w:val="en-US" w:eastAsia="zh-CN"/>
        </w:rPr>
        <w:t>综合实力显著增强，</w:t>
      </w:r>
      <w:r>
        <w:rPr>
          <w:rFonts w:hint="eastAsia" w:ascii="仿宋" w:hAnsi="仿宋" w:eastAsia="仿宋" w:cs="仿宋"/>
          <w:color w:val="FF0000"/>
          <w:sz w:val="30"/>
          <w:szCs w:val="30"/>
          <w:u w:val="none"/>
          <w:lang w:val="en-US" w:eastAsia="zh-CN"/>
        </w:rPr>
        <w:t>建成</w:t>
      </w:r>
      <w:r>
        <w:rPr>
          <w:rFonts w:hint="eastAsia" w:ascii="仿宋" w:hAnsi="仿宋" w:eastAsia="仿宋" w:cs="仿宋"/>
          <w:color w:val="0000FF"/>
          <w:sz w:val="30"/>
          <w:szCs w:val="30"/>
          <w:u w:val="none"/>
          <w:lang w:val="en-US" w:eastAsia="zh-CN"/>
        </w:rPr>
        <w:t>在省内外有重要影响、</w:t>
      </w:r>
      <w:r>
        <w:rPr>
          <w:rFonts w:hint="eastAsia" w:ascii="仿宋" w:hAnsi="仿宋" w:eastAsia="仿宋" w:cs="仿宋"/>
          <w:color w:val="FF0000"/>
          <w:sz w:val="30"/>
          <w:szCs w:val="30"/>
          <w:u w:val="none"/>
          <w:lang w:val="en-US" w:eastAsia="zh-CN"/>
        </w:rPr>
        <w:t>特色鲜明的</w:t>
      </w:r>
      <w:r>
        <w:rPr>
          <w:rFonts w:hint="eastAsia" w:ascii="仿宋" w:hAnsi="仿宋" w:eastAsia="仿宋" w:cs="仿宋"/>
          <w:color w:val="0000FF"/>
          <w:sz w:val="30"/>
          <w:szCs w:val="30"/>
        </w:rPr>
        <w:t>应用型</w:t>
      </w:r>
      <w:r>
        <w:rPr>
          <w:rFonts w:hint="eastAsia" w:ascii="仿宋" w:hAnsi="仿宋" w:eastAsia="仿宋" w:cs="仿宋"/>
          <w:color w:val="0000FF"/>
          <w:sz w:val="30"/>
          <w:szCs w:val="30"/>
          <w:lang w:eastAsia="zh-CN"/>
        </w:rPr>
        <w:t>区域知名</w:t>
      </w:r>
      <w:r>
        <w:rPr>
          <w:rFonts w:hint="eastAsia" w:ascii="仿宋" w:hAnsi="仿宋" w:eastAsia="仿宋" w:cs="仿宋"/>
          <w:color w:val="FF0000"/>
          <w:sz w:val="30"/>
          <w:szCs w:val="30"/>
          <w:u w:val="none"/>
          <w:lang w:val="en-US" w:eastAsia="zh-CN"/>
        </w:rPr>
        <w:t>本科高校。</w:t>
      </w:r>
      <w:bookmarkEnd w:id="38"/>
      <w:r>
        <w:rPr>
          <w:rFonts w:hint="eastAsia" w:ascii="仿宋" w:hAnsi="仿宋" w:eastAsia="仿宋" w:cs="仿宋"/>
          <w:color w:val="FF0000"/>
          <w:sz w:val="30"/>
          <w:szCs w:val="30"/>
          <w:u w:val="none"/>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both"/>
        <w:textAlignment w:val="auto"/>
        <w:outlineLvl w:val="2"/>
        <w:rPr>
          <w:rFonts w:hint="default" w:ascii="仿宋" w:hAnsi="仿宋" w:eastAsia="仿宋" w:cs="仿宋"/>
          <w:color w:val="FF0000"/>
          <w:sz w:val="30"/>
          <w:szCs w:val="30"/>
          <w:u w:val="none"/>
          <w:lang w:val="en-US" w:eastAsia="zh-CN"/>
        </w:rPr>
      </w:pPr>
      <w:bookmarkStart w:id="39" w:name="_Toc12310"/>
      <w:r>
        <w:rPr>
          <w:rFonts w:hint="eastAsia" w:ascii="仿宋" w:hAnsi="仿宋" w:eastAsia="仿宋" w:cs="仿宋"/>
          <w:color w:val="FF0000"/>
          <w:sz w:val="30"/>
          <w:szCs w:val="30"/>
          <w:u w:val="none"/>
          <w:lang w:val="en-US" w:eastAsia="zh-CN"/>
        </w:rPr>
        <w:t>到2035年，办学特色更加鲜明，办学水平和综合实力进一步提升，社会影响力</w:t>
      </w:r>
      <w:r>
        <w:rPr>
          <w:rFonts w:hint="eastAsia" w:ascii="仿宋" w:hAnsi="仿宋" w:eastAsia="仿宋" w:cs="仿宋"/>
          <w:color w:val="0000FF"/>
          <w:sz w:val="30"/>
          <w:szCs w:val="30"/>
          <w:u w:val="none"/>
          <w:lang w:val="en-US" w:eastAsia="zh-CN"/>
        </w:rPr>
        <w:t>和核心竞争力全面</w:t>
      </w:r>
      <w:r>
        <w:rPr>
          <w:rFonts w:hint="eastAsia" w:ascii="仿宋" w:hAnsi="仿宋" w:eastAsia="仿宋" w:cs="仿宋"/>
          <w:color w:val="FF0000"/>
          <w:sz w:val="30"/>
          <w:szCs w:val="30"/>
          <w:u w:val="none"/>
          <w:lang w:val="en-US" w:eastAsia="zh-CN"/>
        </w:rPr>
        <w:t>增强，建成产业贡献力较大、创新应用能力较高、结构带动力较强，在国内有重要影响、神形兼备、特色鲜明的高水平应用型知名高校。</w:t>
      </w:r>
      <w:bookmarkEnd w:id="39"/>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40" w:name="_Toc13542"/>
      <w:r>
        <w:rPr>
          <w:rFonts w:hint="eastAsia" w:ascii="仿宋" w:hAnsi="仿宋" w:eastAsia="仿宋" w:cs="仿宋"/>
          <w:b/>
          <w:bCs/>
          <w:color w:val="000000" w:themeColor="text1"/>
          <w:sz w:val="30"/>
          <w:szCs w:val="30"/>
          <w:u w:val="none"/>
          <w:lang w:val="en-US" w:eastAsia="zh-CN"/>
          <w14:textFill>
            <w14:solidFill>
              <w14:schemeClr w14:val="tx1"/>
            </w14:solidFill>
          </w14:textFill>
        </w:rPr>
        <w:t>3.</w:t>
      </w:r>
      <w:r>
        <w:rPr>
          <w:rFonts w:hint="eastAsia" w:ascii="仿宋" w:hAnsi="仿宋" w:eastAsia="仿宋" w:cs="仿宋"/>
          <w:b/>
          <w:bCs/>
          <w:color w:val="FF0000"/>
          <w:sz w:val="30"/>
          <w:szCs w:val="30"/>
          <w:u w:val="none"/>
          <w:lang w:val="en-US" w:eastAsia="zh-CN"/>
        </w:rPr>
        <w:t>“十四五”</w:t>
      </w:r>
      <w:r>
        <w:rPr>
          <w:rFonts w:hint="eastAsia" w:ascii="仿宋" w:hAnsi="仿宋" w:eastAsia="仿宋" w:cs="仿宋"/>
          <w:b/>
          <w:bCs/>
          <w:color w:val="000000" w:themeColor="text1"/>
          <w:sz w:val="30"/>
          <w:szCs w:val="30"/>
          <w:u w:val="none"/>
          <w:lang w:val="en-US" w:eastAsia="zh-CN"/>
          <w14:textFill>
            <w14:solidFill>
              <w14:schemeClr w14:val="tx1"/>
            </w14:solidFill>
          </w14:textFill>
        </w:rPr>
        <w:t>主要发展指标</w:t>
      </w:r>
      <w:bookmarkEnd w:id="40"/>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bCs/>
          <w:color w:val="000000" w:themeColor="text1"/>
          <w:sz w:val="30"/>
          <w:szCs w:val="30"/>
          <w:u w:val="none"/>
          <w:lang w:val="en-US" w:eastAsia="zh-CN"/>
          <w14:textFill>
            <w14:solidFill>
              <w14:schemeClr w14:val="tx1"/>
            </w14:solidFill>
          </w14:textFill>
        </w:rPr>
      </w:pPr>
      <w:r>
        <w:rPr>
          <w:rFonts w:hint="eastAsia" w:ascii="仿宋" w:hAnsi="仿宋" w:eastAsia="仿宋" w:cs="仿宋"/>
          <w:b/>
          <w:bCs/>
          <w:color w:val="000000" w:themeColor="text1"/>
          <w:sz w:val="30"/>
          <w:szCs w:val="30"/>
          <w:u w:val="none"/>
          <w:lang w:val="en-US" w:eastAsia="zh-CN"/>
          <w14:textFill>
            <w14:solidFill>
              <w14:schemeClr w14:val="tx1"/>
            </w14:solidFill>
          </w14:textFill>
        </w:rPr>
        <w:t xml:space="preserve">（1）办学规模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到2025年，全日制普通本科生达到18000人以上，普通专科生控制在4000人左右，在校生总规模达到22000 人</w:t>
      </w:r>
      <w:r>
        <w:rPr>
          <w:rFonts w:hint="eastAsia" w:ascii="仿宋" w:hAnsi="仿宋" w:eastAsia="仿宋" w:cs="仿宋"/>
          <w:color w:val="0000FF"/>
          <w:kern w:val="0"/>
          <w:sz w:val="30"/>
          <w:szCs w:val="30"/>
          <w:u w:val="none"/>
          <w:lang w:val="en-US" w:eastAsia="zh-CN" w:bidi="ar"/>
        </w:rPr>
        <w:t>左右</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，成人教育学生稳定在4000人左右，</w:t>
      </w:r>
      <w:r>
        <w:rPr>
          <w:rFonts w:hint="eastAsia" w:ascii="仿宋" w:hAnsi="仿宋" w:eastAsia="仿宋" w:cs="仿宋"/>
          <w:color w:val="0000FF"/>
          <w:kern w:val="0"/>
          <w:sz w:val="30"/>
          <w:szCs w:val="30"/>
          <w:u w:val="none"/>
          <w:lang w:val="en-US" w:eastAsia="zh-CN" w:bidi="ar"/>
        </w:rPr>
        <w:t>实现办学规模、结构、质量、效益协调统一</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 xml:space="preserve">（2）学科专业 </w:t>
      </w:r>
    </w:p>
    <w:p>
      <w:pPr>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b w:val="0"/>
          <w:bCs w:val="0"/>
          <w:color w:val="000000" w:themeColor="text1"/>
          <w:sz w:val="30"/>
          <w:szCs w:val="30"/>
          <w:u w:val="none"/>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到2025年，力争新增本科专业15个左右，使学校本科专业总数达到</w:t>
      </w:r>
      <w:r>
        <w:rPr>
          <w:rFonts w:hint="eastAsia" w:ascii="仿宋" w:hAnsi="仿宋" w:eastAsia="仿宋" w:cs="仿宋"/>
          <w:color w:val="FF0000"/>
          <w:kern w:val="0"/>
          <w:sz w:val="30"/>
          <w:szCs w:val="30"/>
          <w:u w:val="none"/>
          <w:lang w:val="en-US" w:eastAsia="zh-CN" w:bidi="ar"/>
        </w:rPr>
        <w:t>50个左右</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，专</w:t>
      </w:r>
      <w:r>
        <w:rPr>
          <w:rFonts w:hint="eastAsia" w:ascii="仿宋" w:hAnsi="仿宋" w:eastAsia="仿宋" w:cs="仿宋"/>
          <w:color w:val="000000" w:themeColor="text1"/>
          <w:sz w:val="30"/>
          <w:szCs w:val="30"/>
          <w:u w:val="none"/>
          <w14:textFill>
            <w14:solidFill>
              <w14:schemeClr w14:val="tx1"/>
            </w14:solidFill>
          </w14:textFill>
        </w:rPr>
        <w:t>科招生专业控制在</w:t>
      </w:r>
      <w:r>
        <w:rPr>
          <w:rFonts w:hint="eastAsia" w:ascii="仿宋" w:hAnsi="仿宋" w:eastAsia="仿宋" w:cs="仿宋"/>
          <w:color w:val="000000" w:themeColor="text1"/>
          <w:sz w:val="30"/>
          <w:szCs w:val="30"/>
          <w:u w:val="none"/>
          <w:lang w:val="en-US" w:eastAsia="zh-CN"/>
          <w14:textFill>
            <w14:solidFill>
              <w14:schemeClr w14:val="tx1"/>
            </w14:solidFill>
          </w14:textFill>
        </w:rPr>
        <w:t>10</w:t>
      </w:r>
      <w:r>
        <w:rPr>
          <w:rFonts w:hint="eastAsia" w:ascii="仿宋" w:hAnsi="仿宋" w:eastAsia="仿宋" w:cs="仿宋"/>
          <w:color w:val="000000" w:themeColor="text1"/>
          <w:sz w:val="30"/>
          <w:szCs w:val="30"/>
          <w:u w:val="none"/>
          <w14:textFill>
            <w14:solidFill>
              <w14:schemeClr w14:val="tx1"/>
            </w14:solidFill>
          </w14:textFill>
        </w:rPr>
        <w:t>个左右</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以新农科建设为主导的“四新”专业数量达到 10 个左右；力争</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建设河南省重点学科培育学科3个以上，河南省“一流本科”专业建设点总体达到10个左</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 xml:space="preserve">右，力争国家级“一流本科”建设点有所突破。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 xml:space="preserve">（3）师资队伍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到2025年，专任教师达到1200人</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以上</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，其中高级职称教师达到 410</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人以上，占专任教师比例达到30%以上；具有研究生学历学位教师占专任教师比例达到90%以上，争取引进和培养200名左右博士；省级和市厅级学术技术带头人、省高校青年骨干教师及学科领军人才等高层次人才队伍总体上达到100人左右；“双师双能型”教师队伍占专任教师比例达到60%左右；新建由知名专家和学科带头人领军的结构合理的高水平教学团队30个左右、科技创新与服务团队40个左右。总体上建成一支师德高尚、素质优良，学历结构、职称结构、学缘结构及能力结构更</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加合理，能够适应和满足教学科研需求及高素质应用型人才培养需要的教师队伍。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color w:val="000000" w:themeColor="text1"/>
          <w:kern w:val="0"/>
          <w:sz w:val="30"/>
          <w:szCs w:val="30"/>
          <w:u w:val="none"/>
          <w:lang w:val="en-US" w:eastAsia="zh-CN" w:bidi="ar"/>
          <w14:textFill>
            <w14:solidFill>
              <w14:schemeClr w14:val="tx1"/>
            </w14:solidFill>
          </w14:textFill>
        </w:rPr>
        <w:t xml:space="preserve">（4）人才培养 </w:t>
      </w:r>
    </w:p>
    <w:p>
      <w:pPr>
        <w:keepNext w:val="0"/>
        <w:keepLines w:val="0"/>
        <w:pageBreakBefore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到2025年，争取省级教改项目总数达到30项左右，努力争取省级教学成果奖10项左右；争取省级</w:t>
      </w:r>
      <w:bookmarkStart w:id="41" w:name="OLE_LINK17"/>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实验教学示范中心</w:t>
      </w:r>
      <w:bookmarkEnd w:id="41"/>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2-3个，省级虚拟仿真实验建设点2个以上；每个本科专业要建设5门</w:t>
      </w:r>
      <w:r>
        <w:rPr>
          <w:rFonts w:hint="eastAsia" w:ascii="仿宋" w:hAnsi="仿宋" w:eastAsia="仿宋" w:cs="仿宋"/>
          <w:color w:val="0000FF"/>
          <w:kern w:val="0"/>
          <w:sz w:val="30"/>
          <w:szCs w:val="30"/>
          <w:u w:val="none"/>
          <w:lang w:val="en-US" w:eastAsia="zh-CN" w:bidi="ar"/>
        </w:rPr>
        <w:t>以上</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专业优秀核心课程、1-2门校企合作开发在线开放课程，建设校级精品在线课程30门以上，力争省级线上线下精品课程达到5-8门。</w:t>
      </w:r>
      <w:r>
        <w:rPr>
          <w:rFonts w:hint="eastAsia" w:ascii="仿宋" w:hAnsi="仿宋" w:eastAsia="仿宋" w:cs="仿宋"/>
          <w:color w:val="000000" w:themeColor="text1"/>
          <w:kern w:val="0"/>
          <w:sz w:val="32"/>
          <w:szCs w:val="32"/>
          <w:u w:val="none"/>
          <w:lang w:val="en-US" w:eastAsia="zh-CN" w:bidi="ar"/>
          <w14:textFill>
            <w14:solidFill>
              <w14:schemeClr w14:val="tx1"/>
            </w14:solidFill>
          </w14:textFill>
        </w:rPr>
        <w:t>争取“十四五”国家级、省级规划教材3-5部</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color w:val="0000FF"/>
          <w:kern w:val="0"/>
          <w:sz w:val="30"/>
          <w:szCs w:val="30"/>
          <w:u w:val="none"/>
          <w:lang w:val="en-US" w:eastAsia="zh-CN" w:bidi="ar"/>
        </w:rPr>
        <w:t>毕业生</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就业率和就业质量</w:t>
      </w:r>
      <w:r>
        <w:rPr>
          <w:rFonts w:hint="eastAsia" w:ascii="仿宋" w:hAnsi="仿宋" w:eastAsia="仿宋" w:cs="仿宋"/>
          <w:color w:val="0000FF"/>
          <w:kern w:val="0"/>
          <w:sz w:val="30"/>
          <w:szCs w:val="30"/>
          <w:u w:val="none"/>
          <w:lang w:val="en-US" w:eastAsia="zh-CN" w:bidi="ar"/>
        </w:rPr>
        <w:t>稳步</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提升，国家学生体质健康标准测试成绩逐年提升；</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全国大学生“互联网+”创业与创新大赛、</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“挑战杯”大学生科技竞赛、电子设计竞赛等获国家级奖励40项以上；以新农科建设为主导、校企协同育人为重点的人才培养模式改革取得新突破。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（5）产教融合与科学研究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到2025年，争取获批国家级、省部级科技创新团队5-10 个；争取新建国家级科技创新平台1个、积极筹建申报国家级平台1个、国家级高技能人才培训基地1个。新增省（部）级工程技术研究中心</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10个左右，新增省（部）级重点实验室1-2个，新增市级重点实验室5-10个，市级工程技术研究中心10-15个；力争实现国家基金项目新增1-2项，国家级项目新增5-10项，省（部）级项目新增100项左右，市（厅）级项目新增600-700项，科研经费年增长10%左右；力争省（部）级科技进步奖和社科成果奖5-8项，新增市（厅）级以上科研成果奖150-200项；在北大中文核</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心期刊以及CSSCI收录论文新增1000篇以上，其中被国际三大检索系统收录100篇以上。紧密结合大别山革命老区振兴发展、淮河流域生态经济带建设及服务</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中部地区崛起和中原城市群建设</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等国家区域性发展战略，对接地方经济社会发展需求，着力打造特色服务品牌和亮点工程，力推科技开发与服务能力显著提升，力争在部分优势领域取得</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重要或关键性突破，社会服务</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走在全省同类高校前列。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（6）保障能力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到2025年，</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基本完</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成新校区二期工程建设，教学行政用房建设总面积力争</w:t>
      </w:r>
      <w:r>
        <w:rPr>
          <w:rFonts w:hint="eastAsia" w:ascii="仿宋_GB2312" w:hAnsi="仿宋_GB2312" w:eastAsia="仿宋_GB2312" w:cs="仿宋_GB2312"/>
          <w:color w:val="000000" w:themeColor="text1"/>
          <w:kern w:val="0"/>
          <w:sz w:val="30"/>
          <w:szCs w:val="30"/>
          <w:u w:val="none"/>
          <w:lang w:val="en-US" w:eastAsia="zh-CN" w:bidi="ar"/>
          <w14:textFill>
            <w14:solidFill>
              <w14:schemeClr w14:val="tx1"/>
            </w14:solidFill>
          </w14:textFill>
        </w:rPr>
        <w:t>达</w:t>
      </w:r>
      <w:r>
        <w:rPr>
          <w:rFonts w:hint="eastAsia" w:ascii="仿宋_GB2312" w:hAnsi="仿宋_GB2312" w:eastAsia="仿宋_GB2312" w:cs="仿宋_GB2312"/>
          <w:color w:val="auto"/>
          <w:kern w:val="0"/>
          <w:sz w:val="30"/>
          <w:szCs w:val="30"/>
          <w:u w:val="none"/>
          <w:lang w:val="en-US" w:eastAsia="zh-CN" w:bidi="ar"/>
        </w:rPr>
        <w:t>到29.1</w:t>
      </w:r>
      <w:r>
        <w:rPr>
          <w:rFonts w:hint="eastAsia" w:ascii="仿宋" w:hAnsi="仿宋" w:eastAsia="仿宋" w:cs="仿宋"/>
          <w:color w:val="auto"/>
          <w:kern w:val="0"/>
          <w:sz w:val="30"/>
          <w:szCs w:val="30"/>
          <w:u w:val="none"/>
          <w:lang w:val="en-US" w:eastAsia="zh-CN" w:bidi="ar"/>
        </w:rPr>
        <w:t>万</w:t>
      </w:r>
      <w:r>
        <w:rPr>
          <w:rFonts w:hint="eastAsia" w:ascii="仿宋" w:hAnsi="仿宋" w:eastAsia="仿宋" w:cs="仿宋"/>
          <w:color w:val="auto"/>
          <w:kern w:val="0"/>
          <w:sz w:val="30"/>
          <w:szCs w:val="30"/>
          <w:highlight w:val="none"/>
          <w:u w:val="none"/>
          <w:lang w:val="en-US" w:eastAsia="zh-CN" w:bidi="ar"/>
        </w:rPr>
        <w:t>平米</w:t>
      </w:r>
      <w:r>
        <w:rPr>
          <w:rFonts w:hint="eastAsia" w:ascii="仿宋" w:hAnsi="仿宋" w:eastAsia="仿宋" w:cs="仿宋"/>
          <w:color w:val="auto"/>
          <w:kern w:val="0"/>
          <w:sz w:val="30"/>
          <w:szCs w:val="30"/>
          <w:u w:val="none"/>
          <w:lang w:val="en-US" w:eastAsia="zh-CN" w:bidi="ar"/>
        </w:rPr>
        <w:t>；教学科</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研仪器设备总值达到2亿元以上；立项建设校级实验教学示范中心13个左右，争取立项建设省级实验教学示范中心5个，力争国家级实验教学示范中心建设项目有突破。每个本科专业建设稳定的校外实习实训基地5个以上，新增实验室13个左右</w:t>
      </w:r>
      <w:r>
        <w:rPr>
          <w:rFonts w:hint="eastAsia" w:ascii="仿宋" w:hAnsi="仿宋" w:eastAsia="仿宋" w:cs="仿宋"/>
          <w:color w:val="000000" w:themeColor="text1"/>
          <w:kern w:val="0"/>
          <w:sz w:val="30"/>
          <w:szCs w:val="30"/>
          <w:highlight w:val="none"/>
          <w:u w:val="none"/>
          <w:lang w:val="en-US" w:eastAsia="zh-CN" w:bidi="ar"/>
          <w14:textFill>
            <w14:solidFill>
              <w14:schemeClr w14:val="tx1"/>
            </w14:solidFill>
          </w14:textFill>
        </w:rPr>
        <w:t>,</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实践教学条件能够满足教学科研需</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要；建成以服务教学为核心的智慧校园，实现室内外5G、WiFi全覆盖，建设100间智慧教室，积极建设基于5G的增强现实课堂与面向“三农”的开放网络教学资源平台；</w:t>
      </w:r>
      <w:r>
        <w:rPr>
          <w:rFonts w:hint="eastAsia" w:ascii="仿宋" w:hAnsi="仿宋" w:eastAsia="仿宋" w:cs="仿宋"/>
          <w:b w:val="0"/>
          <w:bCs w:val="0"/>
          <w:color w:val="000000" w:themeColor="text1"/>
          <w:kern w:val="0"/>
          <w:sz w:val="30"/>
          <w:szCs w:val="30"/>
          <w:u w:val="none"/>
          <w:lang w:val="en-US" w:eastAsia="zh-CN"/>
          <w14:textFill>
            <w14:solidFill>
              <w14:schemeClr w14:val="tx1"/>
            </w14:solidFill>
          </w14:textFill>
        </w:rPr>
        <w:t>加强图书档案建设，保证年进纸质图书不低于</w:t>
      </w:r>
      <w:r>
        <w:rPr>
          <w:rFonts w:hint="eastAsia" w:cs="仿宋"/>
          <w:b w:val="0"/>
          <w:bCs w:val="0"/>
          <w:i w:val="0"/>
          <w:iCs w:val="0"/>
          <w:color w:val="000000" w:themeColor="text1"/>
          <w:kern w:val="0"/>
          <w:sz w:val="30"/>
          <w:szCs w:val="30"/>
          <w:u w:val="none"/>
          <w:lang w:val="en-US" w:eastAsia="zh-CN"/>
          <w14:textFill>
            <w14:solidFill>
              <w14:schemeClr w14:val="tx1"/>
            </w14:solidFill>
          </w14:textFill>
        </w:rPr>
        <w:t>8</w:t>
      </w:r>
      <w:r>
        <w:rPr>
          <w:rFonts w:hint="eastAsia" w:ascii="仿宋" w:hAnsi="仿宋" w:eastAsia="仿宋" w:cs="仿宋"/>
          <w:b w:val="0"/>
          <w:bCs w:val="0"/>
          <w:i w:val="0"/>
          <w:iCs w:val="0"/>
          <w:color w:val="000000" w:themeColor="text1"/>
          <w:kern w:val="0"/>
          <w:sz w:val="30"/>
          <w:szCs w:val="30"/>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30"/>
          <w:szCs w:val="30"/>
          <w:u w:val="none"/>
          <w:lang w:val="en-US" w:eastAsia="zh-CN"/>
          <w14:textFill>
            <w14:solidFill>
              <w14:schemeClr w14:val="tx1"/>
            </w14:solidFill>
          </w14:textFill>
        </w:rPr>
        <w:t>万册，</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图书馆馆藏纸质文</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献达到200万册以上，新增电子图书50万册以上，新增数据库20个以上，年订购纸质期刊1000种以上。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（7）对外合作与交流</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bCs/>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到2</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025年，积极搭建师生对外交流合作平台，拓展国际合作办学渠道，与国外12-15所大学建立良好合作关系；成立港澳台事务办公室，持续加强与港澳台2-3所高等院校、科研院所之间的交流合作；申请招收留学生资质，重点培养</w:t>
      </w:r>
      <w:r>
        <w:rPr>
          <w:rFonts w:hint="eastAsia" w:ascii="仿宋" w:hAnsi="仿宋" w:eastAsia="仿宋" w:cs="仿宋"/>
          <w:b w:val="0"/>
          <w:bCs w:val="0"/>
          <w:color w:val="auto"/>
          <w:kern w:val="0"/>
          <w:sz w:val="30"/>
          <w:szCs w:val="30"/>
          <w:u w:val="none"/>
          <w:lang w:val="en-US" w:eastAsia="zh-CN" w:bidi="ar"/>
        </w:rPr>
        <w:t>一带一路沿线国家对外汉语及相关专业留学生。与相关</w:t>
      </w:r>
      <w:r>
        <w:rPr>
          <w:rFonts w:hint="eastAsia" w:ascii="仿宋" w:hAnsi="仿宋" w:eastAsia="仿宋" w:cs="仿宋"/>
          <w:color w:val="auto"/>
          <w:kern w:val="0"/>
          <w:sz w:val="30"/>
          <w:szCs w:val="30"/>
          <w:u w:val="none"/>
          <w:lang w:val="en-US" w:eastAsia="zh-CN" w:bidi="ar"/>
        </w:rPr>
        <w:t>行业企业合作</w:t>
      </w:r>
      <w:r>
        <w:rPr>
          <w:rFonts w:hint="eastAsia" w:ascii="仿宋" w:hAnsi="仿宋" w:eastAsia="仿宋" w:cs="仿宋"/>
          <w:color w:val="0000FF"/>
          <w:kern w:val="0"/>
          <w:sz w:val="30"/>
          <w:szCs w:val="30"/>
          <w:u w:val="none"/>
          <w:lang w:val="en-US" w:eastAsia="zh-CN" w:bidi="ar"/>
        </w:rPr>
        <w:t>新建</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特色产业学院 10个以上、省级产业技术创新战略联盟2个以上。</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0"/>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42" w:name="_Toc8585"/>
      <w:r>
        <w:rPr>
          <w:rFonts w:hint="eastAsia" w:ascii="仿宋" w:hAnsi="仿宋" w:eastAsia="仿宋" w:cs="仿宋"/>
          <w:b/>
          <w:bCs/>
          <w:color w:val="000000" w:themeColor="text1"/>
          <w:sz w:val="30"/>
          <w:szCs w:val="30"/>
          <w:u w:val="none"/>
          <w:lang w:val="en-US" w:eastAsia="zh-CN"/>
          <w14:textFill>
            <w14:solidFill>
              <w14:schemeClr w14:val="tx1"/>
            </w14:solidFill>
          </w14:textFill>
        </w:rPr>
        <w:t>四、“十四五”期间学校发展的主要任务</w:t>
      </w:r>
      <w:bookmarkEnd w:id="42"/>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从党建、发展理念、学科专业建设、教育教学改革、师资队伍建设、科技与社会服务、校园文化与校园建设、内部治理及办学保障等方面加强改革与建设、提供坚强支持与保障。</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right="0" w:firstLine="602" w:firstLineChars="200"/>
        <w:jc w:val="both"/>
        <w:textAlignment w:val="auto"/>
        <w:outlineLvl w:val="1"/>
        <w:rPr>
          <w:rFonts w:hint="eastAsia" w:ascii="仿宋" w:hAnsi="仿宋" w:eastAsia="仿宋" w:cs="仿宋"/>
          <w:b/>
          <w:bCs/>
          <w:color w:val="FF0000"/>
          <w:kern w:val="0"/>
          <w:sz w:val="30"/>
          <w:szCs w:val="30"/>
          <w:u w:val="none"/>
          <w:lang w:val="en-US" w:eastAsia="zh-CN" w:bidi="ar"/>
        </w:rPr>
      </w:pPr>
      <w:bookmarkStart w:id="43" w:name="_Toc20951"/>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（一）</w:t>
      </w:r>
      <w:r>
        <w:rPr>
          <w:rFonts w:hint="eastAsia" w:ascii="仿宋" w:hAnsi="仿宋" w:eastAsia="仿宋" w:cs="仿宋"/>
          <w:b/>
          <w:bCs/>
          <w:color w:val="FF0000"/>
          <w:kern w:val="0"/>
          <w:sz w:val="30"/>
          <w:szCs w:val="30"/>
          <w:u w:val="none"/>
          <w:lang w:val="en-US" w:eastAsia="zh-CN" w:bidi="ar"/>
        </w:rPr>
        <w:t>以高质量党建为引领，激发高质量发展新动力</w:t>
      </w:r>
      <w:bookmarkEnd w:id="43"/>
    </w:p>
    <w:p>
      <w:pPr>
        <w:pStyle w:val="16"/>
        <w:keepNext w:val="0"/>
        <w:keepLines w:val="0"/>
        <w:pageBreakBefore w:val="0"/>
        <w:widowControl w:val="0"/>
        <w:numPr>
          <w:ilvl w:val="0"/>
          <w:numId w:val="0"/>
        </w:numPr>
        <w:tabs>
          <w:tab w:val="left" w:pos="1239"/>
        </w:tabs>
        <w:kinsoku/>
        <w:wordWrap/>
        <w:overflowPunct/>
        <w:topLinePunct w:val="0"/>
        <w:autoSpaceDE/>
        <w:autoSpaceDN/>
        <w:bidi w:val="0"/>
        <w:adjustRightInd/>
        <w:snapToGrid/>
        <w:spacing w:before="0" w:beforeAutospacing="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44" w:name="_Toc26617"/>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1.加强学校领导班子建设，提升办学治校能力</w:t>
      </w:r>
      <w:bookmarkEnd w:id="44"/>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outlineLvl w:val="0"/>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bookmarkStart w:id="45" w:name="_Toc1232"/>
      <w:bookmarkStart w:id="46" w:name="_Toc27000"/>
      <w:bookmarkStart w:id="47" w:name="_Toc21343"/>
      <w:bookmarkStart w:id="48" w:name="_Toc7154"/>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坚持社会主义办学方向，落实立德树人根本任务，坚持围绕中心抓党建，抓好党建促发展，以党建高质量推动事业发展高质量，推进学校治理体系和治理能力现代化。强化党委办学治校主体责任，认真履行《信阳农林学院章程》赋予的职责，坚持党对学校各项工作的领导，完善党委领导下的校长负责制，建立健全党委统一领导、党政分工合作、协调运行的工作机制。提高科学决策、民主决策、依法决策水平，确保党委履行好把方向、管大局、作决策、抓班子、带队伍、保落实的领导职责。构建党委领导、校长负责、教授治学、民主管理、依法治校的现代大学治理体系。</w:t>
      </w:r>
      <w:bookmarkEnd w:id="45"/>
      <w:bookmarkEnd w:id="46"/>
      <w:bookmarkEnd w:id="47"/>
      <w:bookmarkEnd w:id="48"/>
    </w:p>
    <w:p>
      <w:pPr>
        <w:pStyle w:val="4"/>
        <w:keepNext w:val="0"/>
        <w:keepLines w:val="0"/>
        <w:pageBreakBefore w:val="0"/>
        <w:numPr>
          <w:ilvl w:val="0"/>
          <w:numId w:val="0"/>
        </w:numPr>
        <w:tabs>
          <w:tab w:val="left" w:pos="1239"/>
        </w:tabs>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49" w:name="_Toc2431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2.加强干部队伍建设，提升干部队伍整体素质</w:t>
      </w:r>
      <w:bookmarkEnd w:id="49"/>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outlineLvl w:val="0"/>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bookmarkStart w:id="50" w:name="_Toc3383"/>
      <w:bookmarkStart w:id="51" w:name="_Toc11503"/>
      <w:bookmarkStart w:id="52" w:name="_Toc1128"/>
      <w:bookmarkStart w:id="53" w:name="_Toc29539"/>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推进实施干部培养计划，加强干部多形式的实践锻炼，树立选人用人新风气，着重培养担当作为、苦干实干的优秀年轻干部；弘扬奋斗精神，增强斗争本领，建设一支素质优良、业务精湛、结构合理的干部队伍。强化干部工作导向，按照好干部标准考察任用干部。从严管党治党，加强党员干部管理、考核和监督。强化干部培训，推进干部教育培训工作科学化、制度化、规范化。</w:t>
      </w:r>
      <w:bookmarkEnd w:id="50"/>
      <w:bookmarkEnd w:id="51"/>
      <w:bookmarkEnd w:id="52"/>
      <w:bookmarkEnd w:id="53"/>
    </w:p>
    <w:p>
      <w:pPr>
        <w:pStyle w:val="4"/>
        <w:keepNext w:val="0"/>
        <w:keepLines w:val="0"/>
        <w:pageBreakBefore w:val="0"/>
        <w:numPr>
          <w:ilvl w:val="0"/>
          <w:numId w:val="0"/>
        </w:numPr>
        <w:tabs>
          <w:tab w:val="left" w:pos="1239"/>
        </w:tabs>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54" w:name="_Toc8200"/>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3.加强基层党组织建设，强化党支部战斗堡垒作用</w:t>
      </w:r>
      <w:bookmarkEnd w:id="54"/>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0" w:leftChars="0" w:right="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bookmarkStart w:id="55" w:name="_Toc28286"/>
      <w:bookmarkStart w:id="56" w:name="_Toc30912"/>
      <w:bookmarkStart w:id="57" w:name="_Toc22315"/>
      <w:bookmarkStart w:id="58" w:name="_Toc7398"/>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充分发挥二级学院党总支主力军作用，夯实党建工作根基。进一步健全党建工作体系，完善党建工作制度及责任体系。积极探索基层党组织在学校发展中的有效机制，强化其政治功能、组织功能和服务功能。统筹推进教职工党建、学生党建和离退休党建，深入实施样板支部达标创建计划。统筹推进学习型服务型创新型党支部建设。“不忘初心，牢记使命”</w:t>
      </w:r>
      <w:r>
        <w:rPr>
          <w:rFonts w:hint="eastAsia" w:cs="仿宋"/>
          <w:b w:val="0"/>
          <w:bCs w:val="0"/>
          <w:color w:val="000000" w:themeColor="text1"/>
          <w:kern w:val="0"/>
          <w:sz w:val="30"/>
          <w:szCs w:val="30"/>
          <w:u w:val="none"/>
          <w:lang w:val="en-US" w:eastAsia="zh-CN" w:bidi="ar"/>
          <w14:textFill>
            <w14:solidFill>
              <w14:schemeClr w14:val="tx1"/>
            </w14:solidFill>
          </w14:textFill>
        </w:rPr>
        <w:t>制度化</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，建立健全“两学一做”学习教育长效机制。坚持“三会一课”制度，完善民主评议党员制度。完善党员发展质量保证体系。</w:t>
      </w:r>
      <w:bookmarkEnd w:id="55"/>
      <w:bookmarkEnd w:id="56"/>
      <w:bookmarkEnd w:id="57"/>
      <w:bookmarkEnd w:id="58"/>
    </w:p>
    <w:p>
      <w:pPr>
        <w:keepNext w:val="0"/>
        <w:keepLines w:val="0"/>
        <w:pageBreakBefore w:val="0"/>
        <w:numPr>
          <w:ilvl w:val="0"/>
          <w:numId w:val="0"/>
        </w:numPr>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59" w:name="_Toc7309"/>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4.加强党风廉政建设，打造风清气正良好发展氛围</w:t>
      </w:r>
      <w:bookmarkEnd w:id="59"/>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 xml:space="preserve">    认真落实全面从严治党主体责任和监督责任，构建“权责对等、责任清晰、履责到位、追责有力”的责任落实体系。强化权力运行制约与监督，严格落实中央八项规定精神，持之以恒纠治“四风”，完善作风建设长效机制。深入推进“以案促改”制度常态化，坚决落实巡视整改任务，推动校内巡查高质量开展。充分发挥统战工作在民主政治建设、凝心聚力、协调关系、化解矛盾等方面的重要作用；扎实推进校园廉政文化建设，营造风清气正良好发展氛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1"/>
        <w:rPr>
          <w:rFonts w:hint="eastAsia" w:ascii="仿宋" w:hAnsi="仿宋" w:eastAsia="仿宋" w:cs="仿宋"/>
          <w:b/>
          <w:bCs/>
          <w:color w:val="000000" w:themeColor="text1"/>
          <w:sz w:val="30"/>
          <w:szCs w:val="30"/>
          <w:u w:val="none"/>
          <w:lang w:val="en-US" w:eastAsia="zh-CN"/>
          <w14:textFill>
            <w14:solidFill>
              <w14:schemeClr w14:val="tx1"/>
            </w14:solidFill>
          </w14:textFill>
        </w:rPr>
      </w:pPr>
      <w:bookmarkStart w:id="60" w:name="_Toc14407"/>
      <w:r>
        <w:rPr>
          <w:rFonts w:hint="eastAsia" w:ascii="仿宋" w:hAnsi="仿宋" w:eastAsia="仿宋" w:cs="仿宋"/>
          <w:b/>
          <w:bCs/>
          <w:color w:val="FF0000"/>
          <w:sz w:val="30"/>
          <w:szCs w:val="30"/>
          <w:u w:val="none"/>
          <w:lang w:val="en-US" w:eastAsia="zh-CN"/>
        </w:rPr>
        <w:t>（二）以更新教育思想为前提，树立高质量发展新理念</w:t>
      </w:r>
      <w:bookmarkEnd w:id="60"/>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right="0" w:rightChars="0" w:firstLine="600" w:firstLineChars="200"/>
        <w:jc w:val="both"/>
        <w:textAlignment w:val="auto"/>
        <w:outlineLvl w:val="2"/>
        <w:rPr>
          <w:rFonts w:hint="eastAsia" w:ascii="仿宋" w:hAnsi="仿宋" w:eastAsia="仿宋" w:cs="仿宋"/>
          <w:color w:val="000000" w:themeColor="text1"/>
          <w:sz w:val="30"/>
          <w:szCs w:val="30"/>
          <w:u w:val="none"/>
          <w:lang w:val="en-US" w:eastAsia="zh-CN"/>
          <w14:textFill>
            <w14:solidFill>
              <w14:schemeClr w14:val="tx1"/>
            </w14:solidFill>
          </w14:textFill>
        </w:rPr>
      </w:pPr>
      <w:bookmarkStart w:id="61" w:name="_Toc23741"/>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1.树立服务育人理念。</w:t>
      </w:r>
      <w:r>
        <w:rPr>
          <w:rFonts w:hint="eastAsia" w:ascii="仿宋" w:hAnsi="仿宋" w:eastAsia="仿宋" w:cs="仿宋"/>
          <w:color w:val="0000FF"/>
          <w:sz w:val="30"/>
          <w:szCs w:val="30"/>
          <w:u w:val="none"/>
          <w:lang w:val="en-US" w:eastAsia="zh-CN"/>
        </w:rPr>
        <w:t>坚持“</w:t>
      </w:r>
      <w:r>
        <w:rPr>
          <w:rFonts w:hint="eastAsia" w:ascii="仿宋" w:hAnsi="仿宋" w:eastAsia="仿宋" w:cs="仿宋"/>
          <w:b w:val="0"/>
          <w:bCs w:val="0"/>
          <w:color w:val="0000FF"/>
          <w:sz w:val="30"/>
          <w:szCs w:val="30"/>
          <w:u w:val="none"/>
          <w:lang w:val="en-US" w:eastAsia="zh-CN"/>
        </w:rPr>
        <w:t>育人为本，质量立校</w:t>
      </w:r>
      <w:r>
        <w:rPr>
          <w:rFonts w:hint="eastAsia" w:ascii="仿宋" w:hAnsi="仿宋" w:eastAsia="仿宋" w:cs="仿宋"/>
          <w:color w:val="0000FF"/>
          <w:sz w:val="30"/>
          <w:szCs w:val="30"/>
          <w:u w:val="none"/>
          <w:lang w:val="en-US" w:eastAsia="zh-CN"/>
        </w:rPr>
        <w:t>”</w:t>
      </w:r>
      <w:r>
        <w:rPr>
          <w:rFonts w:hint="eastAsia" w:ascii="仿宋" w:hAnsi="仿宋" w:eastAsia="仿宋" w:cs="仿宋"/>
          <w:b/>
          <w:bCs/>
          <w:color w:val="0000FF"/>
          <w:sz w:val="30"/>
          <w:szCs w:val="30"/>
          <w:u w:val="none"/>
          <w:lang w:val="en-US" w:eastAsia="zh-CN"/>
        </w:rPr>
        <w:t>，</w:t>
      </w:r>
      <w:r>
        <w:rPr>
          <w:rFonts w:hint="eastAsia" w:ascii="仿宋" w:hAnsi="仿宋" w:eastAsia="仿宋" w:cs="仿宋"/>
          <w:color w:val="0000FF"/>
          <w:sz w:val="30"/>
          <w:szCs w:val="30"/>
          <w:u w:val="none"/>
          <w:lang w:eastAsia="zh-CN"/>
        </w:rPr>
        <w:t>以立德树人为根本、强农兴农为己任，</w:t>
      </w:r>
      <w:r>
        <w:rPr>
          <w:rFonts w:hint="eastAsia" w:ascii="仿宋" w:hAnsi="仿宋" w:eastAsia="仿宋" w:cs="仿宋"/>
          <w:color w:val="0000FF"/>
          <w:sz w:val="30"/>
          <w:szCs w:val="30"/>
          <w:u w:val="none"/>
          <w:lang w:val="en-US" w:eastAsia="zh-CN"/>
        </w:rPr>
        <w:t>以培养德才兼备的高素质</w:t>
      </w:r>
      <w:r>
        <w:rPr>
          <w:rFonts w:hint="eastAsia" w:ascii="仿宋" w:hAnsi="仿宋" w:eastAsia="仿宋" w:cs="仿宋"/>
          <w:color w:val="0000FF"/>
          <w:sz w:val="30"/>
          <w:szCs w:val="30"/>
          <w:u w:val="none"/>
          <w:lang w:eastAsia="zh-CN"/>
        </w:rPr>
        <w:t>应用型</w:t>
      </w:r>
      <w:r>
        <w:rPr>
          <w:rFonts w:hint="eastAsia" w:ascii="仿宋" w:hAnsi="仿宋" w:eastAsia="仿宋" w:cs="仿宋"/>
          <w:color w:val="0000FF"/>
          <w:sz w:val="30"/>
          <w:szCs w:val="30"/>
          <w:u w:val="none"/>
          <w:lang w:val="en-US" w:eastAsia="zh-CN"/>
        </w:rPr>
        <w:t>人才为中心，</w:t>
      </w:r>
      <w:r>
        <w:rPr>
          <w:rFonts w:hint="eastAsia" w:ascii="仿宋" w:hAnsi="仿宋" w:eastAsia="仿宋" w:cs="仿宋"/>
          <w:color w:val="000000" w:themeColor="text1"/>
          <w:sz w:val="30"/>
          <w:szCs w:val="30"/>
          <w:u w:val="none"/>
          <w:lang w:eastAsia="zh-CN"/>
          <w14:textFill>
            <w14:solidFill>
              <w14:schemeClr w14:val="tx1"/>
            </w14:solidFill>
          </w14:textFill>
        </w:rPr>
        <w:t>以“三全育人”为途径，</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既要坚持“以生为本”、</w:t>
      </w:r>
      <w:r>
        <w:rPr>
          <w:rFonts w:hint="eastAsia" w:ascii="仿宋" w:hAnsi="仿宋" w:eastAsia="仿宋" w:cs="仿宋"/>
          <w:b w:val="0"/>
          <w:bCs w:val="0"/>
          <w:color w:val="0000FF"/>
          <w:sz w:val="30"/>
          <w:szCs w:val="30"/>
          <w:u w:val="none"/>
          <w:lang w:val="en-US" w:eastAsia="zh-CN"/>
        </w:rPr>
        <w:t>“五育并举”</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，秉持“学生中心、产出导向、持续改进”的育人理念，服务于培养具有高尚道德、完善人格以及发展潜力的“社会人”和胜任岗位要求的“职业人”双重特质的人才，又要</w:t>
      </w:r>
      <w:r>
        <w:rPr>
          <w:rFonts w:hint="eastAsia" w:ascii="仿宋" w:hAnsi="仿宋" w:eastAsia="仿宋" w:cs="仿宋"/>
          <w:color w:val="000000" w:themeColor="text1"/>
          <w:sz w:val="30"/>
          <w:szCs w:val="30"/>
          <w:u w:val="none"/>
          <w:lang w:val="en-US" w:eastAsia="zh-CN"/>
          <w14:textFill>
            <w14:solidFill>
              <w14:schemeClr w14:val="tx1"/>
            </w14:solidFill>
          </w14:textFill>
        </w:rPr>
        <w:t>将服务于学生成长成才的价值诉求与服务于区域经济社会发展需要有机结合。</w:t>
      </w:r>
      <w:bookmarkEnd w:id="61"/>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outlineLvl w:val="2"/>
        <w:rPr>
          <w:rFonts w:hint="eastAsia" w:ascii="仿宋" w:hAnsi="仿宋" w:eastAsia="仿宋" w:cs="仿宋"/>
          <w:b w:val="0"/>
          <w:bCs w:val="0"/>
          <w:color w:val="000000" w:themeColor="text1"/>
          <w:sz w:val="30"/>
          <w:szCs w:val="30"/>
          <w:u w:val="none"/>
          <w:lang w:val="en-US" w:eastAsia="zh-CN"/>
          <w14:textFill>
            <w14:solidFill>
              <w14:schemeClr w14:val="tx1"/>
            </w14:solidFill>
          </w14:textFill>
        </w:rPr>
      </w:pPr>
      <w:bookmarkStart w:id="62" w:name="_Toc29017"/>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2.树立需求导向办学理念。</w:t>
      </w:r>
      <w:r>
        <w:rPr>
          <w:rFonts w:hint="eastAsia" w:ascii="仿宋" w:hAnsi="仿宋" w:eastAsia="仿宋" w:cs="仿宋"/>
          <w:b w:val="0"/>
          <w:bCs w:val="0"/>
          <w:color w:val="0000FF"/>
          <w:sz w:val="30"/>
          <w:szCs w:val="30"/>
          <w:u w:val="none"/>
          <w:lang w:val="en-US" w:eastAsia="zh-CN"/>
        </w:rPr>
        <w:t>坚持“面向市场，需求导向”</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，形成直面市场、适应市场、满足市场需求的办学思维；要密切关注当地经济发展动态和职业岗位变化趋势，促进专业链与产业链、创新链、价值链的有机结合，打造优势专业集群，促进产教深度融合</w:t>
      </w:r>
      <w:r>
        <w:rPr>
          <w:rFonts w:hint="eastAsia" w:ascii="仿宋" w:hAnsi="仿宋" w:eastAsia="仿宋" w:cs="仿宋"/>
          <w:b w:val="0"/>
          <w:bCs w:val="0"/>
          <w:color w:val="0000FF"/>
          <w:sz w:val="30"/>
          <w:szCs w:val="30"/>
          <w:u w:val="none"/>
          <w:lang w:val="en-US" w:eastAsia="zh-CN"/>
        </w:rPr>
        <w:t>校企合作</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，实现人才培养与社会需求无缝对接。</w:t>
      </w:r>
      <w:bookmarkEnd w:id="62"/>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outlineLvl w:val="2"/>
        <w:rPr>
          <w:rFonts w:hint="eastAsia" w:ascii="仿宋" w:hAnsi="仿宋" w:eastAsia="仿宋" w:cs="仿宋"/>
          <w:b w:val="0"/>
          <w:bCs w:val="0"/>
          <w:color w:val="000000" w:themeColor="text1"/>
          <w:sz w:val="30"/>
          <w:szCs w:val="30"/>
          <w:u w:val="none"/>
          <w:lang w:val="en-US" w:eastAsia="zh-CN"/>
          <w14:textFill>
            <w14:solidFill>
              <w14:schemeClr w14:val="tx1"/>
            </w14:solidFill>
          </w14:textFill>
        </w:rPr>
      </w:pPr>
      <w:bookmarkStart w:id="63" w:name="_Toc12983"/>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3.树立开放办学理念。</w:t>
      </w:r>
      <w:r>
        <w:rPr>
          <w:rFonts w:hint="eastAsia" w:ascii="仿宋" w:hAnsi="仿宋" w:eastAsia="仿宋" w:cs="仿宋"/>
          <w:b w:val="0"/>
          <w:bCs w:val="0"/>
          <w:color w:val="0000FF"/>
          <w:sz w:val="30"/>
          <w:szCs w:val="30"/>
          <w:u w:val="none"/>
          <w:lang w:val="en-US" w:eastAsia="zh-CN"/>
        </w:rPr>
        <w:t>坚持“开放办学，服务社会”</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通过开放办学提供应用型人才培养需要的职场环境，促进校企校地合作，构建高校、政府、社会三位一体协同发展新格局，聚合优质教育资源要素，搭建合作教育平台，促进学生实践能力培养和“双师型”教师队伍建设，实现学校与企业两种文化的交融与共赢。</w:t>
      </w:r>
      <w:bookmarkEnd w:id="63"/>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outlineLvl w:val="2"/>
        <w:rPr>
          <w:rFonts w:hint="eastAsia" w:ascii="仿宋" w:hAnsi="仿宋" w:eastAsia="仿宋" w:cs="仿宋"/>
          <w:color w:val="000000" w:themeColor="text1"/>
          <w:sz w:val="30"/>
          <w:szCs w:val="30"/>
          <w:u w:val="none"/>
          <w:lang w:val="en-US" w:eastAsia="zh-CN"/>
          <w14:textFill>
            <w14:solidFill>
              <w14:schemeClr w14:val="tx1"/>
            </w14:solidFill>
          </w14:textFill>
        </w:rPr>
      </w:pPr>
      <w:bookmarkStart w:id="64" w:name="_Toc8571"/>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4.树立特色化办学理念。</w:t>
      </w:r>
      <w:r>
        <w:rPr>
          <w:rFonts w:hint="eastAsia" w:ascii="仿宋" w:hAnsi="仿宋" w:eastAsia="仿宋" w:cs="仿宋"/>
          <w:b w:val="0"/>
          <w:bCs w:val="0"/>
          <w:color w:val="0000FF"/>
          <w:sz w:val="30"/>
          <w:szCs w:val="30"/>
          <w:u w:val="none"/>
          <w:lang w:val="en-US" w:eastAsia="zh-CN"/>
        </w:rPr>
        <w:t>坚持“特色办学，创新发展”</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t>高水平特色是推动</w:t>
      </w:r>
      <w:r>
        <w:rPr>
          <w:rFonts w:hint="eastAsia" w:ascii="仿宋" w:hAnsi="仿宋" w:eastAsia="仿宋" w:cs="仿宋"/>
          <w:color w:val="0000FF"/>
          <w:sz w:val="30"/>
          <w:szCs w:val="30"/>
          <w:u w:val="none"/>
          <w:lang w:val="en-US" w:eastAsia="zh-CN"/>
        </w:rPr>
        <w:t>学校高质量</w:t>
      </w:r>
      <w:r>
        <w:rPr>
          <w:rFonts w:hint="eastAsia" w:ascii="仿宋" w:hAnsi="仿宋" w:eastAsia="仿宋" w:cs="仿宋"/>
          <w:color w:val="000000" w:themeColor="text1"/>
          <w:sz w:val="30"/>
          <w:szCs w:val="30"/>
          <w:u w:val="none"/>
          <w:lang w:val="en-US" w:eastAsia="zh-CN"/>
          <w14:textFill>
            <w14:solidFill>
              <w14:schemeClr w14:val="tx1"/>
            </w14:solidFill>
          </w14:textFill>
        </w:rPr>
        <w:t>发展的重要“引擎”，要正确认识和把握办学特色，在此基础上发挥办学的创新性与创造力，是全面提升人才培养质量的基础和关键；要积极探索构建富有特色的符合高素质应用型创新型人才培养规律的特色育人模式。</w:t>
      </w:r>
      <w:bookmarkEnd w:id="64"/>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2" w:firstLineChars="200"/>
        <w:jc w:val="both"/>
        <w:textAlignment w:val="auto"/>
        <w:outlineLvl w:val="1"/>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pPr>
      <w:bookmarkStart w:id="65" w:name="_Toc27467"/>
      <w:r>
        <w:rPr>
          <w:rFonts w:hint="eastAsia" w:ascii="仿宋" w:hAnsi="仿宋" w:eastAsia="仿宋" w:cs="仿宋"/>
          <w:b/>
          <w:bCs/>
          <w:color w:val="000000" w:themeColor="text1"/>
          <w:sz w:val="30"/>
          <w:szCs w:val="30"/>
          <w:u w:val="none"/>
          <w:lang w:val="en-US" w:eastAsia="zh-CN"/>
          <w14:textFill>
            <w14:solidFill>
              <w14:schemeClr w14:val="tx1"/>
            </w14:solidFill>
          </w14:textFill>
        </w:rPr>
        <w:t>（三）</w:t>
      </w:r>
      <w:r>
        <w:rPr>
          <w:rFonts w:hint="eastAsia" w:ascii="仿宋" w:hAnsi="仿宋" w:eastAsia="仿宋" w:cs="仿宋"/>
          <w:b/>
          <w:bCs/>
          <w:color w:val="FF0000"/>
          <w:sz w:val="30"/>
          <w:szCs w:val="30"/>
          <w:u w:val="none"/>
          <w:lang w:val="en-US" w:eastAsia="zh-CN"/>
        </w:rPr>
        <w:t>以应用型学科专业建设为龙头，</w:t>
      </w:r>
      <w:r>
        <w:rPr>
          <w:rFonts w:hint="eastAsia" w:ascii="仿宋" w:hAnsi="仿宋" w:eastAsia="仿宋" w:cs="仿宋"/>
          <w:b/>
          <w:bCs/>
          <w:color w:val="FF0000"/>
          <w:kern w:val="2"/>
          <w:sz w:val="30"/>
          <w:szCs w:val="30"/>
          <w:u w:val="none"/>
          <w:lang w:val="en-US" w:eastAsia="zh-CN" w:bidi="ar-SA"/>
        </w:rPr>
        <w:t>打造学科专业建设新格局</w:t>
      </w:r>
      <w:bookmarkEnd w:id="65"/>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sz w:val="30"/>
          <w:szCs w:val="30"/>
          <w:u w:val="none"/>
          <w14:textFill>
            <w14:solidFill>
              <w14:schemeClr w14:val="tx1"/>
            </w14:solidFill>
          </w14:textFill>
        </w:rPr>
      </w:pPr>
      <w:bookmarkStart w:id="66" w:name="_Toc32630"/>
      <w:r>
        <w:rPr>
          <w:rFonts w:hint="eastAsia" w:ascii="仿宋" w:hAnsi="仿宋" w:eastAsia="仿宋" w:cs="仿宋"/>
          <w:b/>
          <w:color w:val="000000" w:themeColor="text1"/>
          <w:sz w:val="30"/>
          <w:szCs w:val="30"/>
          <w:u w:val="none"/>
          <w:lang w:val="en-US" w:eastAsia="zh-CN"/>
          <w14:textFill>
            <w14:solidFill>
              <w14:schemeClr w14:val="tx1"/>
            </w14:solidFill>
          </w14:textFill>
        </w:rPr>
        <w:t>1.</w:t>
      </w:r>
      <w:r>
        <w:rPr>
          <w:rFonts w:hint="eastAsia" w:cs="仿宋"/>
          <w:b/>
          <w:bCs/>
          <w:color w:val="FF0000"/>
          <w:sz w:val="30"/>
          <w:szCs w:val="30"/>
          <w:u w:val="none"/>
          <w:lang w:val="en-US" w:eastAsia="zh-CN"/>
        </w:rPr>
        <w:t>优化专业布局</w:t>
      </w:r>
      <w:r>
        <w:rPr>
          <w:rFonts w:hint="eastAsia" w:ascii="仿宋" w:hAnsi="仿宋" w:eastAsia="仿宋" w:cs="仿宋"/>
          <w:b/>
          <w:bCs/>
          <w:color w:val="000000" w:themeColor="text1"/>
          <w:sz w:val="30"/>
          <w:szCs w:val="30"/>
          <w:u w:val="none"/>
          <w14:textFill>
            <w14:solidFill>
              <w14:schemeClr w14:val="tx1"/>
            </w14:solidFill>
          </w14:textFill>
        </w:rPr>
        <w:t>，促进学科</w:t>
      </w:r>
      <w:r>
        <w:rPr>
          <w:rFonts w:hint="eastAsia" w:ascii="仿宋" w:hAnsi="仿宋" w:eastAsia="仿宋" w:cs="仿宋"/>
          <w:b/>
          <w:bCs/>
          <w:color w:val="000000" w:themeColor="text1"/>
          <w:sz w:val="30"/>
          <w:szCs w:val="30"/>
          <w:u w:val="none"/>
          <w:lang w:eastAsia="zh-CN"/>
          <w14:textFill>
            <w14:solidFill>
              <w14:schemeClr w14:val="tx1"/>
            </w14:solidFill>
          </w14:textFill>
        </w:rPr>
        <w:t>专业可</w:t>
      </w:r>
      <w:r>
        <w:rPr>
          <w:rFonts w:hint="eastAsia" w:ascii="仿宋" w:hAnsi="仿宋" w:eastAsia="仿宋" w:cs="仿宋"/>
          <w:b/>
          <w:bCs/>
          <w:color w:val="000000" w:themeColor="text1"/>
          <w:sz w:val="30"/>
          <w:szCs w:val="30"/>
          <w:u w:val="none"/>
          <w14:textFill>
            <w14:solidFill>
              <w14:schemeClr w14:val="tx1"/>
            </w14:solidFill>
          </w14:textFill>
        </w:rPr>
        <w:t>持续发展</w:t>
      </w:r>
      <w:bookmarkEnd w:id="66"/>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color w:val="000000" w:themeColor="text1"/>
          <w:sz w:val="30"/>
          <w:szCs w:val="30"/>
          <w:u w:val="none"/>
          <w:lang w:val="en-US" w:eastAsia="zh-CN"/>
          <w14:textFill>
            <w14:solidFill>
              <w14:schemeClr w14:val="tx1"/>
            </w14:solidFill>
          </w14:textFill>
        </w:rPr>
      </w:pPr>
      <w:bookmarkStart w:id="67" w:name="_Toc15052"/>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按照“加快做强提升农科，积极发展特色学科，稳步发展应用型工科和人文学科”的建设思路，加强以新兴学科专业布局、传统专业改造和新农科为主导的一流专业建设，构建学科专业建设新格局</w:t>
      </w:r>
      <w:bookmarkEnd w:id="67"/>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w:t>
      </w:r>
      <w:r>
        <w:rPr>
          <w:rFonts w:hint="eastAsia" w:ascii="仿宋" w:hAnsi="仿宋" w:eastAsia="仿宋" w:cs="仿宋"/>
          <w:b w:val="0"/>
          <w:bCs/>
          <w:color w:val="0000FF"/>
          <w:kern w:val="2"/>
          <w:sz w:val="30"/>
          <w:szCs w:val="30"/>
          <w:u w:val="none"/>
          <w:lang w:val="en-US" w:eastAsia="zh-CN" w:bidi="ar-SA"/>
        </w:rPr>
        <w:t>通过</w:t>
      </w:r>
      <w:r>
        <w:rPr>
          <w:rFonts w:hint="eastAsia" w:ascii="仿宋" w:hAnsi="仿宋" w:eastAsia="仿宋" w:cs="仿宋"/>
          <w:b w:val="0"/>
          <w:bCs/>
          <w:color w:val="FF0000"/>
          <w:kern w:val="2"/>
          <w:sz w:val="30"/>
          <w:szCs w:val="30"/>
          <w:u w:val="none"/>
          <w:lang w:val="en-US" w:eastAsia="zh-CN" w:bidi="ar-SA"/>
        </w:rPr>
        <w:t>深化本科专业供给侧改革，建立健全专业动态调整机制，做好“存量升级、增量优化、余量消减”。通过</w:t>
      </w:r>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调好学科存量</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，在合理控制和压缩专业规模、优化学科专业结构基础上，</w:t>
      </w:r>
      <w:r>
        <w:rPr>
          <w:rFonts w:hint="eastAsia" w:ascii="仿宋" w:hAnsi="仿宋" w:eastAsia="仿宋" w:cs="仿宋"/>
          <w:b w:val="0"/>
          <w:bCs/>
          <w:color w:val="FF0000"/>
          <w:kern w:val="2"/>
          <w:sz w:val="30"/>
          <w:szCs w:val="30"/>
          <w:u w:val="none"/>
          <w:lang w:val="en-US" w:eastAsia="zh-CN" w:bidi="ar-SA"/>
        </w:rPr>
        <w:t>融入现代教育新理念、新技术</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改造提升传统学科专业；通过</w:t>
      </w:r>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做优学科增量，</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主动适应国家和河南省</w:t>
      </w:r>
      <w:r>
        <w:rPr>
          <w:rFonts w:hint="eastAsia" w:ascii="仿宋" w:hAnsi="仿宋" w:eastAsia="仿宋" w:cs="仿宋"/>
          <w:b w:val="0"/>
          <w:bCs/>
          <w:color w:val="FF0000"/>
          <w:kern w:val="2"/>
          <w:sz w:val="30"/>
          <w:szCs w:val="30"/>
          <w:u w:val="none"/>
          <w:lang w:val="en-US" w:eastAsia="zh-CN" w:bidi="ar-SA"/>
        </w:rPr>
        <w:t>、信阳市等</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经济结构战略性调整和新一轮科技革命和产业革命，以新理念、新形态、新方法推动“四新”建设，重点布局支撑智能农业、生态保护与修护、生物医药、现代服务业、数字经济等产业创新发展的学科专业，到“十四五”末，建设 3-5个具有引领作用的新兴学科专业</w:t>
      </w:r>
      <w:r>
        <w:rPr>
          <w:rFonts w:hint="eastAsia" w:ascii="仿宋" w:hAnsi="仿宋" w:eastAsia="仿宋" w:cs="仿宋"/>
          <w:b w:val="0"/>
          <w:bCs/>
          <w:color w:val="0000FF"/>
          <w:kern w:val="2"/>
          <w:sz w:val="30"/>
          <w:szCs w:val="30"/>
          <w:u w:val="none"/>
          <w:lang w:val="en-US" w:eastAsia="zh-CN" w:bidi="ar-SA"/>
        </w:rPr>
        <w:t>；通过</w:t>
      </w:r>
      <w:r>
        <w:rPr>
          <w:rFonts w:hint="eastAsia" w:ascii="仿宋" w:hAnsi="仿宋" w:eastAsia="仿宋" w:cs="仿宋"/>
          <w:b/>
          <w:bCs w:val="0"/>
          <w:color w:val="0000FF"/>
          <w:kern w:val="2"/>
          <w:sz w:val="30"/>
          <w:szCs w:val="30"/>
          <w:u w:val="none"/>
          <w:lang w:val="en-US" w:eastAsia="zh-CN" w:bidi="ar-SA"/>
        </w:rPr>
        <w:t>合理</w:t>
      </w:r>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消减余量，</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对近三年社会就业率较低、社会需求饱和或连续两年专业评估排序在后30%的专业进行专项督察，采取减少招生计划、隔年招生或停止招生措施。力争整体上建设一支农科优势特色更加鲜明、新农科建设具有比较优势、新兴学科发展良好、结构更加科学的应用型学科专业体系。</w:t>
      </w:r>
    </w:p>
    <w:p>
      <w:pPr>
        <w:pStyle w:val="16"/>
        <w:keepNext w:val="0"/>
        <w:keepLines w:val="0"/>
        <w:pageBreakBefore w:val="0"/>
        <w:numPr>
          <w:ilvl w:val="0"/>
          <w:numId w:val="0"/>
        </w:numPr>
        <w:tabs>
          <w:tab w:val="left" w:pos="1239"/>
        </w:tabs>
        <w:kinsoku/>
        <w:wordWrap/>
        <w:overflowPunct/>
        <w:topLinePunct w:val="0"/>
        <w:autoSpaceDE/>
        <w:autoSpaceDN/>
        <w:bidi w:val="0"/>
        <w:adjustRightInd/>
        <w:snapToGrid/>
        <w:spacing w:before="0" w:beforeAutospacing="0" w:afterAutospacing="0" w:line="520" w:lineRule="exact"/>
        <w:ind w:left="0" w:leftChars="0" w:right="0" w:rightChars="0" w:firstLine="602" w:firstLineChars="200"/>
        <w:jc w:val="both"/>
        <w:textAlignment w:val="auto"/>
        <w:outlineLvl w:val="2"/>
        <w:rPr>
          <w:rFonts w:hint="eastAsia" w:ascii="仿宋" w:hAnsi="仿宋" w:eastAsia="仿宋" w:cs="仿宋"/>
          <w:b/>
          <w:color w:val="000000" w:themeColor="text1"/>
          <w:sz w:val="30"/>
          <w:szCs w:val="30"/>
          <w:u w:val="none"/>
          <w14:textFill>
            <w14:solidFill>
              <w14:schemeClr w14:val="tx1"/>
            </w14:solidFill>
          </w14:textFill>
        </w:rPr>
      </w:pPr>
      <w:bookmarkStart w:id="68" w:name="_Toc4692"/>
      <w:r>
        <w:rPr>
          <w:rFonts w:hint="eastAsia" w:cs="仿宋"/>
          <w:b/>
          <w:color w:val="000000" w:themeColor="text1"/>
          <w:sz w:val="30"/>
          <w:szCs w:val="30"/>
          <w:u w:val="none"/>
          <w:lang w:val="en-US" w:eastAsia="zh-CN"/>
          <w14:textFill>
            <w14:solidFill>
              <w14:schemeClr w14:val="tx1"/>
            </w14:solidFill>
          </w14:textFill>
        </w:rPr>
        <w:t>2.</w:t>
      </w:r>
      <w:r>
        <w:rPr>
          <w:rFonts w:hint="eastAsia" w:ascii="仿宋" w:hAnsi="仿宋" w:eastAsia="仿宋" w:cs="仿宋"/>
          <w:b/>
          <w:color w:val="FF0000"/>
          <w:sz w:val="30"/>
          <w:szCs w:val="30"/>
          <w:u w:val="none"/>
        </w:rPr>
        <w:t>强化</w:t>
      </w:r>
      <w:r>
        <w:rPr>
          <w:rFonts w:hint="eastAsia" w:ascii="仿宋" w:hAnsi="仿宋" w:eastAsia="仿宋" w:cs="仿宋"/>
          <w:b/>
          <w:color w:val="FF0000"/>
          <w:sz w:val="30"/>
          <w:szCs w:val="30"/>
          <w:u w:val="none"/>
          <w:lang w:eastAsia="zh-CN"/>
        </w:rPr>
        <w:t>优势</w:t>
      </w:r>
      <w:r>
        <w:rPr>
          <w:rFonts w:hint="eastAsia" w:cs="仿宋"/>
          <w:b/>
          <w:color w:val="FF0000"/>
          <w:sz w:val="30"/>
          <w:szCs w:val="30"/>
          <w:u w:val="none"/>
          <w:lang w:eastAsia="zh-CN"/>
        </w:rPr>
        <w:t>引领</w:t>
      </w:r>
      <w:r>
        <w:rPr>
          <w:rFonts w:hint="eastAsia" w:ascii="仿宋" w:hAnsi="仿宋" w:eastAsia="仿宋" w:cs="仿宋"/>
          <w:b/>
          <w:color w:val="000000" w:themeColor="text1"/>
          <w:sz w:val="30"/>
          <w:szCs w:val="30"/>
          <w:u w:val="none"/>
          <w14:textFill>
            <w14:solidFill>
              <w14:schemeClr w14:val="tx1"/>
            </w14:solidFill>
          </w14:textFill>
        </w:rPr>
        <w:t>，</w:t>
      </w:r>
      <w:r>
        <w:rPr>
          <w:rFonts w:hint="eastAsia" w:cs="仿宋"/>
          <w:b/>
          <w:color w:val="0000FF"/>
          <w:sz w:val="30"/>
          <w:szCs w:val="30"/>
          <w:u w:val="none"/>
          <w:lang w:eastAsia="zh-CN"/>
        </w:rPr>
        <w:t>推进</w:t>
      </w:r>
      <w:r>
        <w:rPr>
          <w:rFonts w:hint="eastAsia" w:ascii="仿宋" w:hAnsi="仿宋" w:eastAsia="仿宋" w:cs="仿宋"/>
          <w:b/>
          <w:color w:val="000000" w:themeColor="text1"/>
          <w:sz w:val="30"/>
          <w:szCs w:val="30"/>
          <w:u w:val="none"/>
          <w:lang w:eastAsia="zh-CN"/>
          <w14:textFill>
            <w14:solidFill>
              <w14:schemeClr w14:val="tx1"/>
            </w14:solidFill>
          </w14:textFill>
        </w:rPr>
        <w:t>应用型学科专业</w:t>
      </w:r>
      <w:r>
        <w:rPr>
          <w:rFonts w:hint="eastAsia" w:cs="仿宋"/>
          <w:b/>
          <w:color w:val="0000FF"/>
          <w:sz w:val="30"/>
          <w:szCs w:val="30"/>
          <w:u w:val="none"/>
          <w:lang w:eastAsia="zh-CN"/>
        </w:rPr>
        <w:t>集群</w:t>
      </w:r>
      <w:r>
        <w:rPr>
          <w:rFonts w:hint="eastAsia" w:ascii="仿宋" w:hAnsi="仿宋" w:eastAsia="仿宋" w:cs="仿宋"/>
          <w:b/>
          <w:color w:val="000000" w:themeColor="text1"/>
          <w:sz w:val="30"/>
          <w:szCs w:val="30"/>
          <w:u w:val="none"/>
          <w14:textFill>
            <w14:solidFill>
              <w14:schemeClr w14:val="tx1"/>
            </w14:solidFill>
          </w14:textFill>
        </w:rPr>
        <w:t>建设</w:t>
      </w:r>
      <w:bookmarkEnd w:id="68"/>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rPr>
          <w:rFonts w:hint="eastAsia" w:ascii="仿宋" w:hAnsi="仿宋" w:eastAsia="仿宋" w:cs="仿宋"/>
          <w:b w:val="0"/>
          <w:bCs/>
          <w:color w:val="0000FF"/>
          <w:kern w:val="2"/>
          <w:sz w:val="30"/>
          <w:szCs w:val="30"/>
          <w:u w:val="none"/>
          <w:lang w:val="en-US" w:eastAsia="zh-CN" w:bidi="ar-SA"/>
        </w:rPr>
      </w:pPr>
      <w:r>
        <w:rPr>
          <w:rFonts w:hint="eastAsia" w:ascii="仿宋" w:hAnsi="仿宋" w:eastAsia="仿宋" w:cs="仿宋"/>
          <w:color w:val="FF0000"/>
          <w:sz w:val="30"/>
          <w:szCs w:val="30"/>
        </w:rPr>
        <w:t>以“应用为要、集群发展、打造特色、提高质量”为原则，</w:t>
      </w:r>
      <w:r>
        <w:rPr>
          <w:rFonts w:hint="eastAsia" w:ascii="仿宋" w:hAnsi="仿宋" w:eastAsia="仿宋" w:cs="仿宋"/>
          <w:b w:val="0"/>
          <w:bCs/>
          <w:color w:val="0000FF"/>
          <w:kern w:val="2"/>
          <w:sz w:val="30"/>
          <w:szCs w:val="30"/>
          <w:u w:val="none"/>
          <w:lang w:val="en-US" w:eastAsia="zh-CN" w:bidi="ar-SA"/>
        </w:rPr>
        <w:t>以行业产业发展需求为导向，在招生计划和资源配置上重点扶持和加强服务区域主导产业和特色产业发展的专业群建设。重点</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围绕大别山地区茶叶、油茶、再生稻、稻田综合种养、药材、蔬菜、苗木花卉、林果、食用菌、生猪、家禽、水产、中药材等特色产业发展要求，依托南部大别山北麓山地国家级重点生态功能区丰富的红绿</w:t>
      </w:r>
      <w:r>
        <w:rPr>
          <w:rFonts w:hint="eastAsia" w:ascii="仿宋" w:hAnsi="仿宋" w:eastAsia="仿宋" w:cs="仿宋"/>
          <w:b w:val="0"/>
          <w:bCs/>
          <w:color w:val="000000" w:themeColor="text1"/>
          <w:kern w:val="2"/>
          <w:sz w:val="30"/>
          <w:szCs w:val="30"/>
          <w:highlight w:val="none"/>
          <w:u w:val="none"/>
          <w:lang w:val="en-US" w:eastAsia="zh-CN" w:bidi="ar-SA"/>
          <w14:textFill>
            <w14:solidFill>
              <w14:schemeClr w14:val="tx1"/>
            </w14:solidFill>
          </w14:textFill>
        </w:rPr>
        <w:t>古</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旅游资源以及农文旅融合等新产业新业态培育需求，</w:t>
      </w:r>
      <w:r>
        <w:rPr>
          <w:rFonts w:hint="eastAsia" w:ascii="仿宋" w:hAnsi="仿宋" w:eastAsia="仿宋" w:cs="仿宋"/>
          <w:b w:val="0"/>
          <w:bCs/>
          <w:color w:val="0000FF"/>
          <w:kern w:val="2"/>
          <w:sz w:val="30"/>
          <w:szCs w:val="30"/>
          <w:u w:val="none"/>
          <w:lang w:val="en-US" w:eastAsia="zh-CN" w:bidi="ar-SA"/>
        </w:rPr>
        <w:t>聚焦</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专业核心竞争力建设和</w:t>
      </w:r>
      <w:r>
        <w:rPr>
          <w:rFonts w:hint="eastAsia" w:ascii="仿宋" w:hAnsi="仿宋" w:eastAsia="仿宋" w:cs="仿宋"/>
          <w:b w:val="0"/>
          <w:bCs/>
          <w:color w:val="0000FF"/>
          <w:kern w:val="2"/>
          <w:sz w:val="30"/>
          <w:szCs w:val="30"/>
          <w:u w:val="none"/>
          <w:lang w:val="en-US" w:eastAsia="zh-CN" w:bidi="ar-SA"/>
        </w:rPr>
        <w:t>服务于大别山区域行业产业、乡村振兴,集中打造</w:t>
      </w:r>
      <w:r>
        <w:rPr>
          <w:rFonts w:hint="eastAsia" w:ascii="仿宋" w:hAnsi="仿宋" w:eastAsia="仿宋" w:cs="仿宋"/>
          <w:b w:val="0"/>
          <w:bCs/>
          <w:color w:val="FF0000"/>
          <w:kern w:val="2"/>
          <w:sz w:val="30"/>
          <w:szCs w:val="30"/>
          <w:highlight w:val="none"/>
          <w:u w:val="none"/>
          <w:lang w:val="en-US" w:eastAsia="zh-CN" w:bidi="ar-SA"/>
        </w:rPr>
        <w:t>产学研深度融合、优势突出、特色鲜明、就业率高的</w:t>
      </w:r>
      <w:r>
        <w:rPr>
          <w:rFonts w:hint="eastAsia" w:ascii="仿宋" w:hAnsi="仿宋" w:eastAsia="仿宋" w:cs="仿宋"/>
          <w:b w:val="0"/>
          <w:bCs/>
          <w:color w:val="0000FF"/>
          <w:kern w:val="2"/>
          <w:sz w:val="30"/>
          <w:szCs w:val="30"/>
          <w:u w:val="none"/>
          <w:lang w:val="en-US" w:eastAsia="zh-CN" w:bidi="ar-SA"/>
        </w:rPr>
        <w:t>现代农业类、现代林业类、食品工程类、生物制药类、城乡服务类</w:t>
      </w:r>
      <w:r>
        <w:rPr>
          <w:rFonts w:hint="eastAsia" w:ascii="仿宋" w:hAnsi="仿宋" w:eastAsia="仿宋" w:cs="仿宋"/>
          <w:b w:val="0"/>
          <w:bCs/>
          <w:color w:val="000000" w:themeColor="text1"/>
          <w:kern w:val="2"/>
          <w:sz w:val="30"/>
          <w:szCs w:val="30"/>
          <w:highlight w:val="none"/>
          <w:u w:val="none"/>
          <w:lang w:val="en-US" w:eastAsia="zh-CN" w:bidi="ar-SA"/>
          <w14:textFill>
            <w14:solidFill>
              <w14:schemeClr w14:val="tx1"/>
            </w14:solidFill>
          </w14:textFill>
        </w:rPr>
        <w:t>等五大</w:t>
      </w:r>
      <w:r>
        <w:rPr>
          <w:rFonts w:hint="eastAsia" w:ascii="仿宋" w:hAnsi="仿宋" w:eastAsia="仿宋" w:cs="仿宋"/>
          <w:b w:val="0"/>
          <w:bCs/>
          <w:color w:val="0000FF"/>
          <w:kern w:val="2"/>
          <w:sz w:val="30"/>
          <w:szCs w:val="30"/>
          <w:u w:val="none"/>
          <w:lang w:val="en-US" w:eastAsia="zh-CN" w:bidi="ar-SA"/>
        </w:rPr>
        <w:t>专业群，提升学科专业建设与地方经济发展的契合度。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outlineLvl w:val="2"/>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pPr>
      <w:bookmarkStart w:id="69" w:name="_Toc16143"/>
      <w:r>
        <w:rPr>
          <w:rFonts w:hint="eastAsia" w:ascii="仿宋" w:hAnsi="仿宋" w:eastAsia="仿宋" w:cs="仿宋"/>
          <w:b/>
          <w:bCs w:val="0"/>
          <w:color w:val="FF0000"/>
          <w:kern w:val="2"/>
          <w:sz w:val="30"/>
          <w:szCs w:val="30"/>
          <w:u w:val="none"/>
          <w:lang w:val="en-US" w:eastAsia="zh-CN" w:bidi="ar-SA"/>
        </w:rPr>
        <w:t>3.聚焦“金专”建设，重点打造一批精品专业</w:t>
      </w:r>
      <w:bookmarkEnd w:id="69"/>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有序推进和强化动物医学、设施农业科学与工程、水族科学与技术、植物保护、林学、茶学等重点学科领域“新农科”专业点建设。集中有限资源，实施靶向突破，到“十四五”末建设15个左右在省内具有较强影响力的应用型校级特色示范专业，新建5个以上省级一流本科专业，力争国家级一流本科专业有所突破</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，着力打造若干“金专”品牌</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2" w:firstLineChars="200"/>
        <w:jc w:val="both"/>
        <w:textAlignment w:val="auto"/>
        <w:outlineLvl w:val="2"/>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pPr>
      <w:bookmarkStart w:id="70" w:name="_Toc20108"/>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4.推进学科交融，夯实应用型学科专业基础</w:t>
      </w:r>
      <w:bookmarkEnd w:id="70"/>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600" w:firstLineChars="200"/>
        <w:jc w:val="both"/>
        <w:textAlignment w:val="auto"/>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 xml:space="preserve">在巩固已有优势学科的基础上，主动适应新技术、新产业、新业态、新模式对人才的新要求，积极培育和增设新型、边缘和交叉学科专业，逐步扩展学科领域，处理好综合发展与特色发展的关系，避免追求“大而全”。在注重应用学科发展的同时，适应技术革新趋势，推动学科交叉融合，促进理工结合、工工交叉、工文渗透；加强基础学科和以新文科为主导的人文社会科学学科建设力度，积极落实国家关于“新文科建设宣言”精神，提高人文社科学科建设水平。通过夯实基础、促进学科交融等措施，加快改造传统基础学科专业，为促进优势特色应用型学科长远发展提供坚实保障。  </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2"/>
          <w:sz w:val="30"/>
          <w:szCs w:val="30"/>
          <w:u w:val="none"/>
          <w:lang w:val="en-US" w:eastAsia="zh-CN" w:bidi="zh-CN"/>
          <w14:textFill>
            <w14:solidFill>
              <w14:schemeClr w14:val="tx1"/>
            </w14:solidFill>
          </w14:textFill>
        </w:rPr>
      </w:pPr>
      <w:bookmarkStart w:id="120" w:name="_GoBack"/>
      <w:bookmarkEnd w:id="120"/>
      <w:bookmarkStart w:id="71" w:name="_Toc19960"/>
      <w:r>
        <w:rPr>
          <w:rFonts w:hint="eastAsia" w:ascii="仿宋" w:hAnsi="仿宋" w:eastAsia="仿宋" w:cs="仿宋"/>
          <w:b/>
          <w:bCs/>
          <w:color w:val="000000" w:themeColor="text1"/>
          <w:kern w:val="2"/>
          <w:sz w:val="30"/>
          <w:szCs w:val="30"/>
          <w:u w:val="none"/>
          <w:lang w:val="en-US" w:eastAsia="zh-CN" w:bidi="zh-CN"/>
          <w14:textFill>
            <w14:solidFill>
              <w14:schemeClr w14:val="tx1"/>
            </w14:solidFill>
          </w14:textFill>
        </w:rPr>
        <w:t>5.提升专业层次，择机启动硕士学位授予单位立项建设</w:t>
      </w:r>
      <w:bookmarkEnd w:id="71"/>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在顺利通过本科教学合格评估的基础上，根据硕士研究生授予单位申报相关政策，</w:t>
      </w:r>
      <w:r>
        <w:rPr>
          <w:rFonts w:hint="eastAsia" w:ascii="仿宋" w:hAnsi="仿宋" w:eastAsia="仿宋" w:cs="仿宋"/>
          <w:b w:val="0"/>
          <w:bCs/>
          <w:color w:val="000000" w:themeColor="text1"/>
          <w:kern w:val="2"/>
          <w:sz w:val="30"/>
          <w:szCs w:val="30"/>
          <w:highlight w:val="none"/>
          <w:u w:val="none"/>
          <w:lang w:val="en-US" w:eastAsia="zh-CN" w:bidi="ar-SA"/>
          <w14:textFill>
            <w14:solidFill>
              <w14:schemeClr w14:val="tx1"/>
            </w14:solidFill>
          </w14:textFill>
        </w:rPr>
        <w:t>制订</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相关建设规划，做好学校优势特色学科专业硕士学位点立项建设，认真组织，加大投入，强化落实，切实做好导师队伍、学科梯队、人才培养、物质条件、项目管理等方面的建设工作，</w:t>
      </w:r>
      <w:r>
        <w:rPr>
          <w:rFonts w:hint="eastAsia" w:ascii="仿宋" w:hAnsi="仿宋" w:eastAsia="仿宋" w:cs="仿宋"/>
          <w:b w:val="0"/>
          <w:bCs/>
          <w:color w:val="auto"/>
          <w:kern w:val="2"/>
          <w:sz w:val="30"/>
          <w:szCs w:val="30"/>
          <w:u w:val="none"/>
          <w:lang w:val="en-US" w:eastAsia="zh-CN" w:bidi="ar-SA"/>
        </w:rPr>
        <w:t>力争</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取得实质性突破。</w:t>
      </w:r>
    </w:p>
    <w:p>
      <w:pPr>
        <w:pStyle w:val="16"/>
        <w:keepNext w:val="0"/>
        <w:keepLines w:val="0"/>
        <w:pageBreakBefore w:val="0"/>
        <w:numPr>
          <w:ilvl w:val="0"/>
          <w:numId w:val="0"/>
        </w:numPr>
        <w:tabs>
          <w:tab w:val="left" w:pos="1239"/>
        </w:tabs>
        <w:kinsoku/>
        <w:wordWrap/>
        <w:overflowPunct/>
        <w:topLinePunct w:val="0"/>
        <w:autoSpaceDE/>
        <w:autoSpaceDN/>
        <w:bidi w:val="0"/>
        <w:adjustRightInd/>
        <w:snapToGrid/>
        <w:spacing w:before="0" w:beforeAutospacing="0" w:afterAutospacing="0" w:line="520" w:lineRule="exact"/>
        <w:ind w:right="0" w:rightChars="0" w:firstLine="301" w:firstLineChars="100"/>
        <w:jc w:val="both"/>
        <w:textAlignment w:val="auto"/>
        <w:outlineLvl w:val="1"/>
        <w:rPr>
          <w:rFonts w:hint="eastAsia" w:ascii="仿宋" w:hAnsi="仿宋" w:eastAsia="仿宋" w:cs="仿宋"/>
          <w:b/>
          <w:color w:val="FF0000"/>
          <w:sz w:val="30"/>
          <w:szCs w:val="30"/>
          <w:u w:val="none"/>
          <w:lang w:eastAsia="zh-CN"/>
        </w:rPr>
      </w:pPr>
      <w:bookmarkStart w:id="72" w:name="_Toc14652"/>
      <w:r>
        <w:rPr>
          <w:rFonts w:hint="eastAsia" w:ascii="仿宋" w:hAnsi="仿宋" w:eastAsia="仿宋" w:cs="仿宋"/>
          <w:b/>
          <w:color w:val="000000" w:themeColor="text1"/>
          <w:sz w:val="30"/>
          <w:szCs w:val="30"/>
          <w:u w:val="none"/>
          <w:lang w:eastAsia="zh-CN"/>
          <w14:textFill>
            <w14:solidFill>
              <w14:schemeClr w14:val="tx1"/>
            </w14:solidFill>
          </w14:textFill>
        </w:rPr>
        <w:t>（四）</w:t>
      </w:r>
      <w:r>
        <w:rPr>
          <w:rFonts w:hint="eastAsia" w:cs="仿宋"/>
          <w:b/>
          <w:color w:val="FF0000"/>
          <w:sz w:val="30"/>
          <w:szCs w:val="30"/>
          <w:u w:val="none"/>
          <w:lang w:eastAsia="zh-CN"/>
        </w:rPr>
        <w:t>以</w:t>
      </w:r>
      <w:r>
        <w:rPr>
          <w:rFonts w:hint="eastAsia" w:ascii="仿宋" w:hAnsi="仿宋" w:eastAsia="仿宋" w:cs="仿宋"/>
          <w:b/>
          <w:color w:val="FF0000"/>
          <w:sz w:val="30"/>
          <w:szCs w:val="30"/>
          <w:u w:val="none"/>
        </w:rPr>
        <w:t>深化</w:t>
      </w:r>
      <w:r>
        <w:rPr>
          <w:rFonts w:hint="eastAsia" w:cs="仿宋"/>
          <w:b/>
          <w:color w:val="FF0000"/>
          <w:sz w:val="30"/>
          <w:szCs w:val="30"/>
          <w:u w:val="none"/>
          <w:lang w:eastAsia="zh-CN"/>
        </w:rPr>
        <w:t>教学</w:t>
      </w:r>
      <w:r>
        <w:rPr>
          <w:rFonts w:hint="eastAsia" w:ascii="仿宋" w:hAnsi="仿宋" w:eastAsia="仿宋" w:cs="仿宋"/>
          <w:b/>
          <w:color w:val="FF0000"/>
          <w:sz w:val="30"/>
          <w:szCs w:val="30"/>
          <w:u w:val="none"/>
        </w:rPr>
        <w:t>改革</w:t>
      </w:r>
      <w:r>
        <w:rPr>
          <w:rFonts w:hint="eastAsia" w:cs="仿宋"/>
          <w:b/>
          <w:color w:val="FF0000"/>
          <w:sz w:val="30"/>
          <w:szCs w:val="30"/>
          <w:u w:val="none"/>
          <w:lang w:eastAsia="zh-CN"/>
        </w:rPr>
        <w:t>为重点，</w:t>
      </w:r>
      <w:r>
        <w:rPr>
          <w:rFonts w:hint="eastAsia" w:ascii="仿宋" w:hAnsi="仿宋" w:eastAsia="仿宋" w:cs="仿宋"/>
          <w:b/>
          <w:color w:val="FF0000"/>
          <w:sz w:val="30"/>
          <w:szCs w:val="30"/>
          <w:u w:val="none"/>
          <w:lang w:eastAsia="zh-CN"/>
        </w:rPr>
        <w:t>提</w:t>
      </w:r>
      <w:r>
        <w:rPr>
          <w:rFonts w:hint="eastAsia" w:cs="仿宋"/>
          <w:b/>
          <w:color w:val="FF0000"/>
          <w:sz w:val="30"/>
          <w:szCs w:val="30"/>
          <w:u w:val="none"/>
          <w:lang w:eastAsia="zh-CN"/>
        </w:rPr>
        <w:t>升</w:t>
      </w:r>
      <w:r>
        <w:rPr>
          <w:rFonts w:hint="eastAsia" w:ascii="仿宋" w:hAnsi="仿宋" w:eastAsia="仿宋" w:cs="仿宋"/>
          <w:b/>
          <w:color w:val="FF0000"/>
          <w:sz w:val="30"/>
          <w:szCs w:val="30"/>
          <w:u w:val="none"/>
          <w:lang w:eastAsia="zh-CN"/>
        </w:rPr>
        <w:t>人才培养质量</w:t>
      </w:r>
      <w:r>
        <w:rPr>
          <w:rFonts w:hint="eastAsia" w:cs="仿宋"/>
          <w:b/>
          <w:color w:val="FF0000"/>
          <w:sz w:val="30"/>
          <w:szCs w:val="30"/>
          <w:u w:val="none"/>
          <w:lang w:eastAsia="zh-CN"/>
        </w:rPr>
        <w:t>新高度</w:t>
      </w:r>
      <w:bookmarkEnd w:id="72"/>
    </w:p>
    <w:p>
      <w:pPr>
        <w:pStyle w:val="16"/>
        <w:keepNext w:val="0"/>
        <w:keepLines w:val="0"/>
        <w:pageBreakBefore w:val="0"/>
        <w:numPr>
          <w:ilvl w:val="0"/>
          <w:numId w:val="0"/>
        </w:numPr>
        <w:tabs>
          <w:tab w:val="left" w:pos="1239"/>
        </w:tabs>
        <w:kinsoku/>
        <w:wordWrap/>
        <w:overflowPunct/>
        <w:topLinePunct w:val="0"/>
        <w:autoSpaceDE/>
        <w:autoSpaceDN/>
        <w:bidi w:val="0"/>
        <w:adjustRightInd/>
        <w:snapToGrid/>
        <w:spacing w:before="0" w:beforeAutospacing="0" w:afterAutospacing="0" w:line="520" w:lineRule="exact"/>
        <w:ind w:left="0" w:leftChars="0" w:right="0" w:rightChars="0" w:firstLine="301" w:firstLineChars="100"/>
        <w:jc w:val="both"/>
        <w:textAlignment w:val="auto"/>
        <w:outlineLvl w:val="2"/>
        <w:rPr>
          <w:rFonts w:hint="eastAsia" w:ascii="仿宋" w:hAnsi="仿宋" w:eastAsia="仿宋" w:cs="仿宋"/>
          <w:b/>
          <w:color w:val="000000" w:themeColor="text1"/>
          <w:sz w:val="30"/>
          <w:szCs w:val="30"/>
          <w:u w:val="none"/>
          <w:lang w:val="en-US" w:eastAsia="zh-CN"/>
          <w14:textFill>
            <w14:solidFill>
              <w14:schemeClr w14:val="tx1"/>
            </w14:solidFill>
          </w14:textFill>
        </w:rPr>
      </w:pPr>
      <w:r>
        <w:rPr>
          <w:rFonts w:hint="eastAsia" w:ascii="仿宋" w:hAnsi="仿宋" w:eastAsia="仿宋" w:cs="仿宋"/>
          <w:b/>
          <w:color w:val="000000" w:themeColor="text1"/>
          <w:sz w:val="30"/>
          <w:szCs w:val="30"/>
          <w:u w:val="none"/>
          <w:lang w:val="en-US" w:eastAsia="zh-CN"/>
          <w14:textFill>
            <w14:solidFill>
              <w14:schemeClr w14:val="tx1"/>
            </w14:solidFill>
          </w14:textFill>
        </w:rPr>
        <w:t xml:space="preserve">  </w:t>
      </w:r>
      <w:bookmarkStart w:id="73" w:name="_Toc8523"/>
      <w:r>
        <w:rPr>
          <w:rFonts w:hint="eastAsia" w:ascii="仿宋" w:hAnsi="仿宋" w:eastAsia="仿宋" w:cs="仿宋"/>
          <w:b/>
          <w:color w:val="000000" w:themeColor="text1"/>
          <w:sz w:val="30"/>
          <w:szCs w:val="30"/>
          <w:u w:val="none"/>
          <w:lang w:val="en-US" w:eastAsia="zh-CN"/>
          <w14:textFill>
            <w14:solidFill>
              <w14:schemeClr w14:val="tx1"/>
            </w14:solidFill>
          </w14:textFill>
        </w:rPr>
        <w:t>1.推进人才培养模式改革，</w:t>
      </w:r>
      <w:r>
        <w:rPr>
          <w:rFonts w:hint="eastAsia" w:cs="仿宋"/>
          <w:b/>
          <w:color w:val="FF0000"/>
          <w:sz w:val="30"/>
          <w:szCs w:val="30"/>
          <w:u w:val="none"/>
          <w:lang w:val="en-US" w:eastAsia="zh-CN"/>
        </w:rPr>
        <w:t>提升</w:t>
      </w:r>
      <w:r>
        <w:rPr>
          <w:rFonts w:hint="eastAsia" w:ascii="仿宋" w:hAnsi="仿宋" w:eastAsia="仿宋" w:cs="仿宋"/>
          <w:b/>
          <w:color w:val="FF0000"/>
          <w:sz w:val="30"/>
          <w:szCs w:val="30"/>
          <w:u w:val="none"/>
          <w:lang w:val="en-US" w:eastAsia="zh-CN"/>
        </w:rPr>
        <w:t>应用型</w:t>
      </w:r>
      <w:r>
        <w:rPr>
          <w:rFonts w:hint="eastAsia" w:cs="仿宋"/>
          <w:b/>
          <w:color w:val="FF0000"/>
          <w:sz w:val="30"/>
          <w:szCs w:val="30"/>
          <w:u w:val="none"/>
          <w:lang w:val="en-US" w:eastAsia="zh-CN"/>
        </w:rPr>
        <w:t>本科</w:t>
      </w:r>
      <w:r>
        <w:rPr>
          <w:rFonts w:hint="eastAsia" w:ascii="仿宋" w:hAnsi="仿宋" w:eastAsia="仿宋" w:cs="仿宋"/>
          <w:b/>
          <w:color w:val="FF0000"/>
          <w:sz w:val="30"/>
          <w:szCs w:val="30"/>
          <w:u w:val="none"/>
          <w:lang w:val="en-US" w:eastAsia="zh-CN"/>
        </w:rPr>
        <w:t>人才</w:t>
      </w:r>
      <w:r>
        <w:rPr>
          <w:rFonts w:hint="eastAsia" w:cs="仿宋"/>
          <w:b/>
          <w:color w:val="FF0000"/>
          <w:sz w:val="30"/>
          <w:szCs w:val="30"/>
          <w:u w:val="none"/>
          <w:lang w:val="en-US" w:eastAsia="zh-CN"/>
        </w:rPr>
        <w:t>培养达成度</w:t>
      </w:r>
      <w:bookmarkEnd w:id="73"/>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left"/>
        <w:textAlignment w:val="auto"/>
        <w:rPr>
          <w:rFonts w:hint="eastAsia" w:ascii="仿宋" w:hAnsi="仿宋" w:eastAsia="仿宋" w:cs="仿宋"/>
          <w:b/>
          <w:color w:val="000000" w:themeColor="text1"/>
          <w:sz w:val="30"/>
          <w:szCs w:val="30"/>
          <w:u w:val="none"/>
          <w:lang w:val="en-US" w:eastAsia="zh-CN"/>
          <w14:textFill>
            <w14:solidFill>
              <w14:schemeClr w14:val="tx1"/>
            </w14:solidFill>
          </w14:textFill>
        </w:rPr>
      </w:pPr>
      <w:r>
        <w:rPr>
          <w:rFonts w:hint="eastAsia" w:ascii="仿宋" w:hAnsi="仿宋" w:eastAsia="仿宋" w:cs="仿宋"/>
          <w:b/>
          <w:color w:val="000000" w:themeColor="text1"/>
          <w:sz w:val="30"/>
          <w:szCs w:val="30"/>
          <w:u w:val="none"/>
          <w:lang w:val="en-US" w:eastAsia="zh-CN"/>
          <w14:textFill>
            <w14:solidFill>
              <w14:schemeClr w14:val="tx1"/>
            </w14:solidFill>
          </w14:textFill>
        </w:rPr>
        <w:t xml:space="preserve">   </w:t>
      </w:r>
      <w:r>
        <w:rPr>
          <w:rFonts w:hint="eastAsia" w:ascii="仿宋" w:hAnsi="仿宋" w:eastAsia="仿宋" w:cs="仿宋"/>
          <w:b w:val="0"/>
          <w:bCs/>
          <w:color w:val="auto"/>
          <w:kern w:val="2"/>
          <w:sz w:val="30"/>
          <w:szCs w:val="30"/>
          <w:u w:val="none"/>
          <w:lang w:val="en-US" w:eastAsia="zh-CN" w:bidi="ar-SA"/>
        </w:rPr>
        <w:t>以培养高素质应用型技术技能型人才为目标，</w:t>
      </w:r>
      <w:r>
        <w:rPr>
          <w:rFonts w:hint="eastAsia" w:ascii="仿宋" w:hAnsi="仿宋" w:eastAsia="仿宋" w:cs="仿宋"/>
          <w:b w:val="0"/>
          <w:bCs/>
          <w:color w:val="FF0000"/>
          <w:kern w:val="2"/>
          <w:sz w:val="30"/>
          <w:szCs w:val="30"/>
          <w:u w:val="none"/>
          <w:lang w:val="en-US" w:eastAsia="zh-CN" w:bidi="ar-SA"/>
        </w:rPr>
        <w:t>积极践行</w:t>
      </w:r>
      <w:r>
        <w:rPr>
          <w:rFonts w:hint="eastAsia" w:ascii="仿宋" w:hAnsi="仿宋" w:eastAsia="仿宋" w:cs="仿宋"/>
          <w:b w:val="0"/>
          <w:bCs w:val="0"/>
          <w:color w:val="FF0000"/>
          <w:sz w:val="30"/>
          <w:szCs w:val="30"/>
          <w:u w:val="none"/>
          <w:lang w:val="en-US" w:eastAsia="zh-CN"/>
        </w:rPr>
        <w:t>“学生中心、产出导向、持续改进”的</w:t>
      </w:r>
      <w:r>
        <w:rPr>
          <w:rFonts w:hint="eastAsia" w:ascii="仿宋" w:hAnsi="仿宋" w:eastAsia="仿宋" w:cs="仿宋"/>
          <w:b w:val="0"/>
          <w:bCs/>
          <w:color w:val="FF0000"/>
          <w:kern w:val="2"/>
          <w:sz w:val="30"/>
          <w:szCs w:val="30"/>
          <w:u w:val="none"/>
          <w:lang w:val="en-US" w:eastAsia="zh-CN" w:bidi="ar-SA"/>
        </w:rPr>
        <w:t>OBE</w:t>
      </w:r>
      <w:r>
        <w:rPr>
          <w:rFonts w:hint="eastAsia" w:ascii="仿宋" w:hAnsi="仿宋" w:eastAsia="仿宋" w:cs="仿宋"/>
          <w:b w:val="0"/>
          <w:bCs w:val="0"/>
          <w:color w:val="FF0000"/>
          <w:sz w:val="30"/>
          <w:szCs w:val="30"/>
          <w:u w:val="none"/>
          <w:lang w:val="en-US" w:eastAsia="zh-CN"/>
        </w:rPr>
        <w:t>育人理念，推进应用型人才培养</w:t>
      </w:r>
      <w:r>
        <w:rPr>
          <w:rFonts w:hint="eastAsia" w:ascii="仿宋" w:hAnsi="仿宋" w:eastAsia="仿宋" w:cs="仿宋"/>
          <w:b w:val="0"/>
          <w:bCs/>
          <w:color w:val="auto"/>
          <w:kern w:val="2"/>
          <w:sz w:val="30"/>
          <w:szCs w:val="30"/>
          <w:u w:val="none"/>
          <w:lang w:val="en-US" w:eastAsia="zh-CN" w:bidi="ar-SA"/>
        </w:rPr>
        <w:t>模式改革,完善个性化成长、产学研合作育人机制、国内国外合作培养机制，</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推动人才培养向职业标准靠拢，提升应用型人才培养目标的达成度。</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以推进新农科建设为重点，建立跨学院、跨学科、跨专业交叉培养人才的新机制。</w:t>
      </w:r>
      <w:r>
        <w:rPr>
          <w:rFonts w:hint="eastAsia" w:ascii="仿宋" w:hAnsi="仿宋" w:eastAsia="仿宋" w:cs="仿宋"/>
          <w:color w:val="000000" w:themeColor="text1"/>
          <w:sz w:val="30"/>
          <w:szCs w:val="30"/>
          <w:u w:val="none"/>
          <w14:textFill>
            <w14:solidFill>
              <w14:schemeClr w14:val="tx1"/>
            </w14:solidFill>
          </w14:textFill>
        </w:rPr>
        <w:t>坚持产教融合、校企（校）合作、工学结合、知行合一，强化学生技能训练，着力提升职业能力，建立</w:t>
      </w:r>
      <w:r>
        <w:rPr>
          <w:rFonts w:hint="eastAsia" w:ascii="仿宋" w:hAnsi="仿宋" w:eastAsia="仿宋" w:cs="仿宋"/>
          <w:color w:val="000000" w:themeColor="text1"/>
          <w:sz w:val="30"/>
          <w:szCs w:val="30"/>
          <w:u w:val="none"/>
          <w:lang w:eastAsia="zh-CN"/>
          <w14:textFill>
            <w14:solidFill>
              <w14:schemeClr w14:val="tx1"/>
            </w14:solidFill>
          </w14:textFill>
        </w:rPr>
        <w:t>和</w:t>
      </w:r>
      <w:r>
        <w:rPr>
          <w:rFonts w:hint="eastAsia" w:ascii="仿宋" w:hAnsi="仿宋" w:eastAsia="仿宋" w:cs="仿宋"/>
          <w:color w:val="000000" w:themeColor="text1"/>
          <w:sz w:val="30"/>
          <w:szCs w:val="30"/>
          <w:u w:val="none"/>
          <w14:textFill>
            <w14:solidFill>
              <w14:schemeClr w14:val="tx1"/>
            </w14:solidFill>
          </w14:textFill>
        </w:rPr>
        <w:t>完善具有</w:t>
      </w:r>
      <w:r>
        <w:rPr>
          <w:rFonts w:hint="eastAsia" w:ascii="仿宋" w:hAnsi="仿宋" w:eastAsia="仿宋" w:cs="仿宋"/>
          <w:color w:val="000000" w:themeColor="text1"/>
          <w:sz w:val="30"/>
          <w:szCs w:val="30"/>
          <w:u w:val="none"/>
          <w:lang w:eastAsia="zh-CN"/>
          <w14:textFill>
            <w14:solidFill>
              <w14:schemeClr w14:val="tx1"/>
            </w14:solidFill>
          </w14:textFill>
        </w:rPr>
        <w:t>校本</w:t>
      </w:r>
      <w:r>
        <w:rPr>
          <w:rFonts w:hint="eastAsia" w:ascii="仿宋" w:hAnsi="仿宋" w:eastAsia="仿宋" w:cs="仿宋"/>
          <w:color w:val="000000" w:themeColor="text1"/>
          <w:sz w:val="30"/>
          <w:szCs w:val="30"/>
          <w:u w:val="none"/>
          <w14:textFill>
            <w14:solidFill>
              <w14:schemeClr w14:val="tx1"/>
            </w14:solidFill>
          </w14:textFill>
        </w:rPr>
        <w:t>特色、专业技能与</w:t>
      </w:r>
      <w:r>
        <w:rPr>
          <w:rFonts w:hint="eastAsia" w:ascii="仿宋" w:hAnsi="仿宋" w:eastAsia="仿宋" w:cs="仿宋"/>
          <w:color w:val="000000" w:themeColor="text1"/>
          <w:sz w:val="30"/>
          <w:szCs w:val="30"/>
          <w:u w:val="none"/>
          <w:lang w:eastAsia="zh-CN"/>
          <w14:textFill>
            <w14:solidFill>
              <w14:schemeClr w14:val="tx1"/>
            </w14:solidFill>
          </w14:textFill>
        </w:rPr>
        <w:t>综合</w:t>
      </w:r>
      <w:r>
        <w:rPr>
          <w:rFonts w:hint="eastAsia" w:ascii="仿宋" w:hAnsi="仿宋" w:eastAsia="仿宋" w:cs="仿宋"/>
          <w:color w:val="000000" w:themeColor="text1"/>
          <w:sz w:val="30"/>
          <w:szCs w:val="30"/>
          <w:u w:val="none"/>
          <w14:textFill>
            <w14:solidFill>
              <w14:schemeClr w14:val="tx1"/>
            </w14:solidFill>
          </w14:textFill>
        </w:rPr>
        <w:t>素养内外兼修的人才培养模式。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02" w:firstLineChars="200"/>
        <w:jc w:val="both"/>
        <w:textAlignment w:val="auto"/>
        <w:outlineLvl w:val="2"/>
        <w:rPr>
          <w:rFonts w:hint="eastAsia" w:ascii="仿宋" w:hAnsi="仿宋" w:eastAsia="仿宋" w:cs="仿宋"/>
          <w:b/>
          <w:color w:val="auto"/>
          <w:sz w:val="30"/>
          <w:szCs w:val="30"/>
          <w:u w:val="none"/>
        </w:rPr>
      </w:pPr>
      <w:bookmarkStart w:id="74" w:name="_Toc30779"/>
      <w:r>
        <w:rPr>
          <w:rFonts w:hint="eastAsia" w:ascii="仿宋" w:hAnsi="仿宋" w:eastAsia="仿宋" w:cs="仿宋"/>
          <w:b/>
          <w:color w:val="auto"/>
          <w:kern w:val="0"/>
          <w:sz w:val="30"/>
          <w:szCs w:val="30"/>
          <w:u w:val="none"/>
          <w:lang w:val="en-US" w:eastAsia="zh-CN" w:bidi="ar"/>
        </w:rPr>
        <w:t>2.深化课程与教学改革，</w:t>
      </w:r>
      <w:r>
        <w:rPr>
          <w:rFonts w:hint="eastAsia" w:ascii="仿宋" w:hAnsi="仿宋" w:eastAsia="仿宋" w:cs="仿宋"/>
          <w:b/>
          <w:color w:val="FF0000"/>
          <w:kern w:val="0"/>
          <w:sz w:val="30"/>
          <w:szCs w:val="30"/>
          <w:u w:val="none"/>
          <w:lang w:val="en-US" w:eastAsia="zh-CN" w:bidi="ar"/>
        </w:rPr>
        <w:t>打造教学质量革命新亮点</w:t>
      </w:r>
      <w:bookmarkEnd w:id="74"/>
      <w:r>
        <w:rPr>
          <w:rFonts w:hint="eastAsia" w:ascii="仿宋" w:hAnsi="仿宋" w:eastAsia="仿宋" w:cs="仿宋"/>
          <w:b/>
          <w:color w:val="FF0000"/>
          <w:kern w:val="0"/>
          <w:sz w:val="30"/>
          <w:szCs w:val="3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val="0"/>
          <w:bCs/>
          <w:color w:val="000000" w:themeColor="text1"/>
          <w:sz w:val="30"/>
          <w:szCs w:val="30"/>
          <w:u w:val="none"/>
          <w:lang w:val="en-US"/>
          <w14:textFill>
            <w14:solidFill>
              <w14:schemeClr w14:val="tx1"/>
            </w14:solidFill>
          </w14:textFill>
        </w:rPr>
      </w:pPr>
      <w:r>
        <w:rPr>
          <w:rFonts w:hint="eastAsia" w:ascii="仿宋" w:hAnsi="仿宋" w:eastAsia="仿宋" w:cs="仿宋"/>
          <w:b/>
          <w:bCs w:val="0"/>
          <w:color w:val="FF0000"/>
          <w:kern w:val="2"/>
          <w:sz w:val="30"/>
          <w:szCs w:val="30"/>
          <w:u w:val="none"/>
          <w:lang w:val="en-US" w:eastAsia="zh-CN" w:bidi="ar-SA"/>
        </w:rPr>
        <w:t>坚持以本为本、以评促建，</w:t>
      </w:r>
      <w:r>
        <w:rPr>
          <w:rFonts w:hint="eastAsia" w:ascii="仿宋" w:hAnsi="仿宋" w:eastAsia="仿宋" w:cs="仿宋"/>
          <w:b/>
          <w:bCs w:val="0"/>
          <w:color w:val="auto"/>
          <w:kern w:val="2"/>
          <w:sz w:val="30"/>
          <w:szCs w:val="30"/>
          <w:u w:val="none"/>
          <w:lang w:val="en-US" w:eastAsia="zh-CN" w:bidi="ar-SA"/>
        </w:rPr>
        <w:t>推进本科教学质量工程建设</w:t>
      </w:r>
      <w:r>
        <w:rPr>
          <w:rFonts w:hint="eastAsia" w:ascii="仿宋" w:hAnsi="仿宋" w:eastAsia="仿宋" w:cs="仿宋"/>
          <w:b w:val="0"/>
          <w:bCs/>
          <w:color w:val="auto"/>
          <w:kern w:val="2"/>
          <w:sz w:val="30"/>
          <w:szCs w:val="30"/>
          <w:u w:val="none"/>
          <w:lang w:eastAsia="zh-CN" w:bidi="ar-SA"/>
        </w:rPr>
        <w:t>。</w:t>
      </w:r>
      <w:r>
        <w:rPr>
          <w:rFonts w:hint="eastAsia" w:ascii="仿宋" w:hAnsi="仿宋" w:eastAsia="仿宋" w:cs="仿宋"/>
          <w:b w:val="0"/>
          <w:bCs/>
          <w:color w:val="auto"/>
          <w:kern w:val="2"/>
          <w:sz w:val="30"/>
          <w:szCs w:val="30"/>
          <w:u w:val="none"/>
          <w:lang w:val="en-US" w:eastAsia="zh-CN" w:bidi="ar-SA"/>
        </w:rPr>
        <w:t>强化基层教学组织</w:t>
      </w:r>
      <w:r>
        <w:rPr>
          <w:rFonts w:hint="eastAsia" w:ascii="仿宋" w:hAnsi="仿宋" w:eastAsia="仿宋" w:cs="仿宋"/>
          <w:b w:val="0"/>
          <w:bCs/>
          <w:color w:val="auto"/>
          <w:kern w:val="2"/>
          <w:sz w:val="30"/>
          <w:szCs w:val="30"/>
          <w:u w:val="none"/>
          <w:lang w:eastAsia="zh-CN" w:bidi="ar-SA"/>
        </w:rPr>
        <w:t>教学管理职能</w:t>
      </w:r>
      <w:r>
        <w:rPr>
          <w:rFonts w:hint="eastAsia" w:ascii="仿宋" w:hAnsi="仿宋" w:eastAsia="仿宋" w:cs="仿宋"/>
          <w:b w:val="0"/>
          <w:bCs/>
          <w:color w:val="auto"/>
          <w:kern w:val="2"/>
          <w:sz w:val="30"/>
          <w:szCs w:val="30"/>
          <w:u w:val="none"/>
          <w:lang w:val="en-US" w:eastAsia="zh-CN" w:bidi="ar-SA"/>
        </w:rPr>
        <w:t>，夯实本科教学工作的组织</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基础。根据应用型人才培养定位，构建并凝练核心课程体系，</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加强和</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完善具有农林特色的通识课程体系及专业核心课程建设，</w:t>
      </w:r>
      <w:r>
        <w:rPr>
          <w:rFonts w:hint="eastAsia" w:ascii="仿宋" w:hAnsi="仿宋" w:eastAsia="仿宋" w:cs="仿宋"/>
          <w:b w:val="0"/>
          <w:bCs/>
          <w:color w:val="auto"/>
          <w:kern w:val="2"/>
          <w:sz w:val="30"/>
          <w:szCs w:val="30"/>
          <w:u w:val="none"/>
          <w:lang w:val="en-US" w:eastAsia="zh-CN" w:bidi="ar-SA"/>
        </w:rPr>
        <w:t>注重</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培育精品课程</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。依据新农科人才培养要求，整体设计、整合优化面向新农科的课程</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教材</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、教学</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体系。</w:t>
      </w:r>
      <w:r>
        <w:rPr>
          <w:rFonts w:hint="eastAsia" w:ascii="仿宋" w:hAnsi="仿宋" w:eastAsia="仿宋" w:cs="仿宋"/>
          <w:b w:val="0"/>
          <w:bCs/>
          <w:color w:val="FF0000"/>
          <w:kern w:val="2"/>
          <w:sz w:val="30"/>
          <w:szCs w:val="30"/>
          <w:u w:val="none"/>
          <w:lang w:val="en-US" w:eastAsia="zh-CN" w:bidi="ar-SA"/>
        </w:rPr>
        <w:t>拓宽育人主渠道，强化思政课程、课程思政和专业思政建设</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，将思政教育贯穿人才培养体系，</w:t>
      </w:r>
      <w:r>
        <w:rPr>
          <w:rFonts w:hint="eastAsia" w:ascii="仿宋" w:hAnsi="仿宋" w:eastAsia="仿宋" w:cs="仿宋"/>
          <w:b w:val="0"/>
          <w:bCs/>
          <w:color w:val="auto"/>
          <w:kern w:val="2"/>
          <w:sz w:val="30"/>
          <w:szCs w:val="30"/>
          <w:u w:val="none"/>
          <w:lang w:val="en-US" w:eastAsia="zh-CN" w:bidi="ar-SA"/>
        </w:rPr>
        <w:t>注重提炼家国情怀、法治意识、社会责任、文化自信、人文精神等课程思政要素，</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培养具有“大国三农”情怀、“一懂两爱”新型人才；</w:t>
      </w:r>
      <w:r>
        <w:rPr>
          <w:rFonts w:hint="eastAsia" w:ascii="仿宋" w:hAnsi="仿宋" w:eastAsia="仿宋" w:cs="仿宋"/>
          <w:b w:val="0"/>
          <w:bCs/>
          <w:color w:val="auto"/>
          <w:kern w:val="2"/>
          <w:sz w:val="30"/>
          <w:szCs w:val="30"/>
          <w:u w:val="none"/>
          <w:lang w:val="en-US" w:eastAsia="zh-CN" w:bidi="ar-SA"/>
        </w:rPr>
        <w:t>结合学校实际和区域发展特色，整合优质资源，将</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大别山红色文化等地域特色文化资源融入课堂教学，打造富有地域特色</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和</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农林特色的“金课”品牌。</w:t>
      </w:r>
    </w:p>
    <w:p>
      <w:pPr>
        <w:pStyle w:val="7"/>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firstLine="602" w:firstLineChars="200"/>
        <w:jc w:val="both"/>
        <w:textAlignment w:val="auto"/>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pPr>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探索“互联网+”背景下教学模式与方法改革，推进</w:t>
      </w:r>
      <w:r>
        <w:rPr>
          <w:rFonts w:hint="eastAsia" w:cs="仿宋"/>
          <w:b/>
          <w:bCs w:val="0"/>
          <w:color w:val="000000" w:themeColor="text1"/>
          <w:kern w:val="2"/>
          <w:sz w:val="30"/>
          <w:szCs w:val="30"/>
          <w:u w:val="none"/>
          <w:lang w:val="en-US" w:eastAsia="zh-CN" w:bidi="ar-SA"/>
          <w14:textFill>
            <w14:solidFill>
              <w14:schemeClr w14:val="tx1"/>
            </w14:solidFill>
          </w14:textFill>
        </w:rPr>
        <w:t>以信息化技术为支撑的</w:t>
      </w:r>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课堂革命</w:t>
      </w:r>
      <w:r>
        <w:rPr>
          <w:rFonts w:hint="eastAsia" w:cs="仿宋"/>
          <w:b/>
          <w:bCs w:val="0"/>
          <w:color w:val="000000" w:themeColor="text1"/>
          <w:kern w:val="2"/>
          <w:sz w:val="30"/>
          <w:szCs w:val="30"/>
          <w:u w:val="none"/>
          <w:lang w:val="en-US" w:eastAsia="zh-CN" w:bidi="ar-SA"/>
          <w14:textFill>
            <w14:solidFill>
              <w14:schemeClr w14:val="tx1"/>
            </w14:solidFill>
          </w14:textFill>
        </w:rPr>
        <w:t>和新型教育教学评价改革</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适应“后疫情”时代常态化教学改革需要，充分利用现代信息技术等手段，搭建线上、线下有机结合的教育教学平台，</w:t>
      </w:r>
      <w:r>
        <w:rPr>
          <w:rFonts w:hint="eastAsia" w:cs="仿宋"/>
          <w:b w:val="0"/>
          <w:bCs/>
          <w:color w:val="000000" w:themeColor="text1"/>
          <w:kern w:val="2"/>
          <w:sz w:val="30"/>
          <w:szCs w:val="30"/>
          <w:u w:val="none"/>
          <w:lang w:eastAsia="zh-CN" w:bidi="ar-SA"/>
          <w14:textFill>
            <w14:solidFill>
              <w14:schemeClr w14:val="tx1"/>
            </w14:solidFill>
          </w14:textFill>
        </w:rPr>
        <w:t>整合同类高校优质教学资源，打造课程合作与交流平台，</w:t>
      </w:r>
      <w:r>
        <w:rPr>
          <w:rFonts w:hint="eastAsia" w:cs="仿宋"/>
          <w:b w:val="0"/>
          <w:bCs/>
          <w:color w:val="000000" w:themeColor="text1"/>
          <w:kern w:val="2"/>
          <w:sz w:val="30"/>
          <w:szCs w:val="30"/>
          <w:u w:val="none"/>
          <w:lang w:val="en-US" w:eastAsia="zh-CN" w:bidi="ar-SA"/>
          <w14:textFill>
            <w14:solidFill>
              <w14:schemeClr w14:val="tx1"/>
            </w14:solidFill>
          </w14:textFill>
        </w:rPr>
        <w:t>推动</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精品开放课程、精品资源共享课程、公共课、基础课等网络共享平台建设</w:t>
      </w:r>
      <w:r>
        <w:rPr>
          <w:rFonts w:hint="eastAsia" w:cs="仿宋"/>
          <w:b w:val="0"/>
          <w:bCs/>
          <w:color w:val="000000" w:themeColor="text1"/>
          <w:kern w:val="2"/>
          <w:sz w:val="30"/>
          <w:szCs w:val="30"/>
          <w:highlight w:val="none"/>
          <w:u w:val="none"/>
          <w:lang w:val="en-US" w:eastAsia="zh-CN" w:bidi="ar-SA"/>
          <w14:textFill>
            <w14:solidFill>
              <w14:schemeClr w14:val="tx1"/>
            </w14:solidFill>
          </w14:textFill>
        </w:rPr>
        <w:t>。</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到2025年，建成基于“校园云”的课程资源和学习空间，实现各专业核心课程的网络教学资源化。按照国家</w:t>
      </w:r>
      <w:r>
        <w:rPr>
          <w:rFonts w:hint="eastAsia" w:cs="仿宋"/>
          <w:b w:val="0"/>
          <w:bCs/>
          <w:color w:val="000000" w:themeColor="text1"/>
          <w:kern w:val="2"/>
          <w:sz w:val="30"/>
          <w:szCs w:val="30"/>
          <w:u w:val="none"/>
          <w:lang w:val="en-US" w:eastAsia="zh-CN" w:bidi="ar-SA"/>
          <w14:textFill>
            <w14:solidFill>
              <w14:schemeClr w14:val="tx1"/>
            </w14:solidFill>
          </w14:textFill>
        </w:rPr>
        <w:t>关于</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《深化新时代教育评价改革总体方案》要求，以学生发展为中心，</w:t>
      </w:r>
      <w:r>
        <w:rPr>
          <w:rFonts w:hint="eastAsia" w:cs="仿宋"/>
          <w:b w:val="0"/>
          <w:bCs/>
          <w:color w:val="000000" w:themeColor="text1"/>
          <w:kern w:val="2"/>
          <w:sz w:val="30"/>
          <w:szCs w:val="30"/>
          <w:u w:val="none"/>
          <w:lang w:val="en-US" w:eastAsia="zh-CN" w:bidi="ar-SA"/>
          <w14:textFill>
            <w14:solidFill>
              <w14:schemeClr w14:val="tx1"/>
            </w14:solidFill>
          </w14:textFill>
        </w:rPr>
        <w:t>探索新形势下教学模式与学生学习模式改革，</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全面推行</w:t>
      </w:r>
      <w:r>
        <w:rPr>
          <w:rFonts w:hint="eastAsia" w:ascii="仿宋" w:hAnsi="仿宋" w:eastAsia="仿宋" w:cs="仿宋"/>
          <w:b w:val="0"/>
          <w:bCs/>
          <w:color w:val="000000" w:themeColor="text1"/>
          <w:kern w:val="2"/>
          <w:sz w:val="30"/>
          <w:szCs w:val="30"/>
          <w:u w:val="none"/>
          <w:lang w:eastAsia="zh-CN" w:bidi="ar-SA"/>
          <w14:textFill>
            <w14:solidFill>
              <w14:schemeClr w14:val="tx1"/>
            </w14:solidFill>
          </w14:textFill>
        </w:rPr>
        <w:t>灵活多样的</w:t>
      </w:r>
      <w:r>
        <w:rPr>
          <w:rFonts w:hint="eastAsia" w:cs="仿宋"/>
          <w:b w:val="0"/>
          <w:bCs/>
          <w:color w:val="000000" w:themeColor="text1"/>
          <w:kern w:val="2"/>
          <w:sz w:val="30"/>
          <w:szCs w:val="30"/>
          <w:u w:val="none"/>
          <w:lang w:val="en-US" w:eastAsia="zh-CN" w:bidi="ar-SA"/>
          <w14:textFill>
            <w14:solidFill>
              <w14:schemeClr w14:val="tx1"/>
            </w14:solidFill>
          </w14:textFill>
        </w:rPr>
        <w:t>考核评价</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方式改革，</w:t>
      </w:r>
      <w:r>
        <w:rPr>
          <w:rFonts w:hint="eastAsia" w:cs="仿宋"/>
          <w:b w:val="0"/>
          <w:bCs/>
          <w:color w:val="000000" w:themeColor="text1"/>
          <w:kern w:val="2"/>
          <w:sz w:val="30"/>
          <w:szCs w:val="30"/>
          <w:u w:val="none"/>
          <w:lang w:val="en-US" w:eastAsia="zh-CN" w:bidi="ar-SA"/>
          <w14:textFill>
            <w14:solidFill>
              <w14:schemeClr w14:val="tx1"/>
            </w14:solidFill>
          </w14:textFill>
        </w:rPr>
        <w:t>建立对学习过程的多元化评价体系。</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创新学分管理制度，推进在线开放课程学分认定。鼓励小班授课，完善虚拟实验教学。</w:t>
      </w:r>
    </w:p>
    <w:p>
      <w:pPr>
        <w:pStyle w:val="4"/>
        <w:keepNext w:val="0"/>
        <w:keepLines w:val="0"/>
        <w:pageBreakBefore w:val="0"/>
        <w:widowControl w:val="0"/>
        <w:numPr>
          <w:ilvl w:val="0"/>
          <w:numId w:val="0"/>
        </w:numPr>
        <w:tabs>
          <w:tab w:val="left" w:pos="1560"/>
        </w:tabs>
        <w:kinsoku/>
        <w:wordWrap/>
        <w:overflowPunct/>
        <w:topLinePunct w:val="0"/>
        <w:autoSpaceDE/>
        <w:autoSpaceDN/>
        <w:bidi w:val="0"/>
        <w:adjustRightInd/>
        <w:snapToGrid/>
        <w:spacing w:before="0" w:beforeLines="0" w:after="0" w:afterLines="0" w:line="520" w:lineRule="exact"/>
        <w:ind w:left="0" w:leftChars="0" w:right="0" w:rightChars="0" w:firstLine="602" w:firstLineChars="200"/>
        <w:jc w:val="both"/>
        <w:textAlignment w:val="auto"/>
        <w:outlineLvl w:val="2"/>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pPr>
      <w:bookmarkStart w:id="75" w:name="_Toc24578"/>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3.加强创</w:t>
      </w:r>
      <w:r>
        <w:rPr>
          <w:rFonts w:hint="eastAsia" w:ascii="仿宋" w:hAnsi="仿宋" w:eastAsia="仿宋" w:cs="仿宋"/>
          <w:b/>
          <w:bCs w:val="0"/>
          <w:color w:val="auto"/>
          <w:kern w:val="2"/>
          <w:sz w:val="30"/>
          <w:szCs w:val="30"/>
          <w:u w:val="none"/>
          <w:lang w:val="en-US" w:eastAsia="zh-CN" w:bidi="ar-SA"/>
        </w:rPr>
        <w:t>新创业教育改革，</w:t>
      </w:r>
      <w:r>
        <w:rPr>
          <w:rFonts w:hint="eastAsia" w:ascii="仿宋" w:hAnsi="仿宋" w:eastAsia="仿宋" w:cs="仿宋"/>
          <w:b/>
          <w:bCs w:val="0"/>
          <w:color w:val="000000" w:themeColor="text1"/>
          <w:kern w:val="2"/>
          <w:sz w:val="30"/>
          <w:szCs w:val="30"/>
          <w:u w:val="none"/>
          <w:lang w:val="en-US" w:eastAsia="zh-CN" w:bidi="ar-SA"/>
          <w14:textFill>
            <w14:solidFill>
              <w14:schemeClr w14:val="tx1"/>
            </w14:solidFill>
          </w14:textFill>
        </w:rPr>
        <w:t>提升学生创新创业意识新境界</w:t>
      </w:r>
      <w:bookmarkEnd w:id="75"/>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76"/>
        <w:jc w:val="both"/>
        <w:textAlignment w:val="auto"/>
        <w:rPr>
          <w:rFonts w:hint="eastAsia" w:ascii="仿宋" w:hAnsi="仿宋" w:eastAsia="仿宋" w:cs="仿宋"/>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根据深化创新创业教育改革要求，完善创新创业教育课程体系，对创新创业教育进行全过程、全覆盖、全链条设计；改革教学管理、强化激励约束，打造课程平台、众创平台、孵化平台等三大平台，搭建课程体系、训练体系、孵化体系、“导师+”体系、基金项目体系等五大体系，为学生未来发展奠定坚实基础。完善创新创业学分积累与转换制度，鼓励学生参加社会调查、生产劳动、志愿服务、公益活动、科技发明和勤工助学等实践活动；加强专业实验室、虚拟仿真实验室、校内外实习实训基地及</w:t>
      </w:r>
      <w:r>
        <w:rPr>
          <w:rFonts w:hint="eastAsia" w:ascii="仿宋" w:hAnsi="仿宋" w:eastAsia="仿宋" w:cs="仿宋"/>
          <w:b w:val="0"/>
          <w:bCs/>
          <w:color w:val="FF0000"/>
          <w:kern w:val="2"/>
          <w:sz w:val="30"/>
          <w:szCs w:val="30"/>
          <w:u w:val="none"/>
          <w:lang w:val="en-US" w:eastAsia="zh-CN" w:bidi="ar-SA"/>
        </w:rPr>
        <w:t>大学生创业中心</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等</w:t>
      </w:r>
      <w:r>
        <w:rPr>
          <w:rFonts w:hint="eastAsia" w:ascii="仿宋" w:hAnsi="仿宋" w:eastAsia="仿宋" w:cs="仿宋"/>
          <w:b w:val="0"/>
          <w:bCs/>
          <w:color w:val="FF0000"/>
          <w:kern w:val="2"/>
          <w:sz w:val="30"/>
          <w:szCs w:val="30"/>
          <w:u w:val="none"/>
          <w:lang w:val="en-US" w:eastAsia="zh-CN" w:bidi="ar-SA"/>
        </w:rPr>
        <w:t>“双创”平台</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建设；</w:t>
      </w:r>
      <w:r>
        <w:rPr>
          <w:rFonts w:hint="eastAsia" w:ascii="仿宋" w:hAnsi="仿宋" w:eastAsia="仿宋" w:cs="仿宋"/>
          <w:b w:val="0"/>
          <w:bCs/>
          <w:color w:val="FF0000"/>
          <w:kern w:val="2"/>
          <w:sz w:val="30"/>
          <w:szCs w:val="30"/>
          <w:u w:val="none"/>
          <w:lang w:val="en-US" w:eastAsia="zh-CN" w:bidi="ar-SA"/>
        </w:rPr>
        <w:t>加强“双创”教育课程体系建设</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，引进和研发一批创新创业教育在线课程，开设不少于10 门创新创业类课程；加强创新创业教育师资队伍建设，</w:t>
      </w:r>
      <w:r>
        <w:rPr>
          <w:rFonts w:hint="eastAsia" w:ascii="仿宋" w:hAnsi="仿宋" w:eastAsia="仿宋" w:cs="仿宋"/>
          <w:b w:val="0"/>
          <w:bCs/>
          <w:color w:val="FF0000"/>
          <w:kern w:val="2"/>
          <w:sz w:val="30"/>
          <w:szCs w:val="30"/>
          <w:u w:val="none"/>
          <w:lang w:val="en-US" w:eastAsia="zh-CN" w:bidi="ar-SA"/>
        </w:rPr>
        <w:t>提高学生创新创业指导服务水平</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；发挥“互联网+”大赛引领推动作用，</w:t>
      </w:r>
      <w:r>
        <w:rPr>
          <w:rFonts w:hint="eastAsia" w:ascii="仿宋" w:hAnsi="仿宋" w:eastAsia="仿宋" w:cs="仿宋"/>
          <w:b w:val="0"/>
          <w:bCs/>
          <w:color w:val="FF0000"/>
          <w:kern w:val="2"/>
          <w:sz w:val="30"/>
          <w:szCs w:val="30"/>
          <w:u w:val="none"/>
          <w:lang w:val="en-US" w:eastAsia="zh-CN" w:bidi="ar-SA"/>
        </w:rPr>
        <w:t>“以赛促学”、“以赛促教”</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 xml:space="preserve">，提升创新创业教育水平。落实创新创业教育主体责任，建立和完善教学管理部门和双创中心牵头，学生工作部门和学院齐抓共管、协同发力的创新创业教育工作新机制。  </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76"/>
        <w:jc w:val="both"/>
        <w:textAlignment w:val="auto"/>
        <w:outlineLvl w:val="2"/>
        <w:rPr>
          <w:rFonts w:hint="eastAsia" w:ascii="仿宋" w:hAnsi="仿宋" w:eastAsia="仿宋" w:cs="仿宋"/>
          <w:b/>
          <w:bCs/>
          <w:color w:val="FF0000"/>
          <w:kern w:val="2"/>
          <w:sz w:val="30"/>
          <w:szCs w:val="30"/>
          <w:u w:val="none"/>
          <w:lang w:val="en-US" w:eastAsia="zh-CN" w:bidi="zh-CN"/>
        </w:rPr>
      </w:pPr>
      <w:r>
        <w:rPr>
          <w:rFonts w:hint="eastAsia" w:ascii="仿宋" w:hAnsi="仿宋" w:eastAsia="仿宋" w:cs="仿宋"/>
          <w:b/>
          <w:bCs/>
          <w:color w:val="000000" w:themeColor="text1"/>
          <w:kern w:val="2"/>
          <w:sz w:val="30"/>
          <w:szCs w:val="30"/>
          <w:u w:val="none"/>
          <w:lang w:val="en-US" w:eastAsia="zh-CN" w:bidi="zh-CN"/>
          <w14:textFill>
            <w14:solidFill>
              <w14:schemeClr w14:val="tx1"/>
            </w14:solidFill>
          </w14:textFill>
        </w:rPr>
        <w:t xml:space="preserve"> </w:t>
      </w:r>
      <w:bookmarkStart w:id="76" w:name="_Toc21783"/>
      <w:r>
        <w:rPr>
          <w:rFonts w:hint="eastAsia" w:ascii="仿宋" w:hAnsi="仿宋" w:eastAsia="仿宋" w:cs="仿宋"/>
          <w:b/>
          <w:bCs/>
          <w:color w:val="000000" w:themeColor="text1"/>
          <w:kern w:val="2"/>
          <w:sz w:val="30"/>
          <w:szCs w:val="30"/>
          <w:u w:val="none"/>
          <w:lang w:val="en-US" w:eastAsia="zh-CN" w:bidi="zh-CN"/>
          <w14:textFill>
            <w14:solidFill>
              <w14:schemeClr w14:val="tx1"/>
            </w14:solidFill>
          </w14:textFill>
        </w:rPr>
        <w:t>4.优化教育资源配置，</w:t>
      </w:r>
      <w:r>
        <w:rPr>
          <w:rFonts w:hint="eastAsia" w:ascii="仿宋" w:hAnsi="仿宋" w:eastAsia="仿宋" w:cs="仿宋"/>
          <w:b/>
          <w:bCs/>
          <w:color w:val="FF0000"/>
          <w:kern w:val="2"/>
          <w:sz w:val="30"/>
          <w:szCs w:val="30"/>
          <w:u w:val="none"/>
          <w:lang w:val="en-US" w:eastAsia="zh-CN" w:bidi="zh-CN"/>
        </w:rPr>
        <w:t>构建实践教学新体制</w:t>
      </w:r>
      <w:bookmarkEnd w:id="76"/>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以提高学生实践能力为导向，不断完善实践教学体系，改进实践教学内容和教学方法，探索与人才培养目标相适应的实践教学模式。加强公共基础实验室条件建设，重点</w:t>
      </w:r>
      <w:r>
        <w:rPr>
          <w:rFonts w:hint="eastAsia" w:ascii="仿宋" w:hAnsi="仿宋" w:eastAsia="仿宋" w:cs="仿宋"/>
          <w:color w:val="000000" w:themeColor="text1"/>
          <w:kern w:val="0"/>
          <w:sz w:val="30"/>
          <w:szCs w:val="30"/>
          <w:u w:val="none"/>
          <w:lang w:eastAsia="zh-CN" w:bidi="ar"/>
          <w14:textFill>
            <w14:solidFill>
              <w14:schemeClr w14:val="tx1"/>
            </w14:solidFill>
          </w14:textFill>
        </w:rPr>
        <w:t>加强</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省级、国家级实验教学中心、虚拟仿真教学中心建设；整合各学院内外实习资源，强化实习</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实训基地建设，与行业部门、兄弟院校、龙头企业等合作建设农林类校外实践教学示范基地，</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确保</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每个本科专业建有稳定的校外实习实训基地5个以上；充分发挥实践育人功能，着力培养学生知农、爱农、为农素养。优先建设各专业实验教学急需实验室和综合实习基地；充分利用校内外资源，充实和完善创新创业教育实践平台。</w:t>
      </w:r>
    </w:p>
    <w:p>
      <w:pPr>
        <w:pStyle w:val="16"/>
        <w:keepNext w:val="0"/>
        <w:keepLines w:val="0"/>
        <w:pageBreakBefore w:val="0"/>
        <w:numPr>
          <w:ilvl w:val="0"/>
          <w:numId w:val="0"/>
        </w:numPr>
        <w:tabs>
          <w:tab w:val="left" w:pos="1560"/>
        </w:tabs>
        <w:kinsoku/>
        <w:wordWrap/>
        <w:overflowPunct/>
        <w:topLinePunct w:val="0"/>
        <w:autoSpaceDE/>
        <w:autoSpaceDN/>
        <w:bidi w:val="0"/>
        <w:adjustRightInd/>
        <w:snapToGrid/>
        <w:spacing w:before="0" w:beforeAutospacing="0" w:afterAutospacing="0" w:line="520" w:lineRule="exact"/>
        <w:ind w:left="0" w:leftChars="0" w:right="0" w:rightChars="0" w:firstLine="602" w:firstLineChars="200"/>
        <w:jc w:val="both"/>
        <w:textAlignment w:val="auto"/>
        <w:outlineLvl w:val="2"/>
        <w:rPr>
          <w:rFonts w:hint="eastAsia" w:ascii="仿宋" w:hAnsi="仿宋" w:eastAsia="仿宋" w:cs="仿宋"/>
          <w:b/>
          <w:color w:val="000000" w:themeColor="text1"/>
          <w:sz w:val="30"/>
          <w:szCs w:val="30"/>
          <w:u w:val="none"/>
          <w14:textFill>
            <w14:solidFill>
              <w14:schemeClr w14:val="tx1"/>
            </w14:solidFill>
          </w14:textFill>
        </w:rPr>
      </w:pPr>
      <w:bookmarkStart w:id="77" w:name="_Toc23046"/>
      <w:r>
        <w:rPr>
          <w:rFonts w:hint="eastAsia" w:ascii="仿宋" w:hAnsi="仿宋" w:eastAsia="仿宋" w:cs="仿宋"/>
          <w:b/>
          <w:color w:val="000000" w:themeColor="text1"/>
          <w:sz w:val="30"/>
          <w:szCs w:val="30"/>
          <w:u w:val="none"/>
          <w:lang w:val="en-US" w:eastAsia="zh-CN"/>
          <w14:textFill>
            <w14:solidFill>
              <w14:schemeClr w14:val="tx1"/>
            </w14:solidFill>
          </w14:textFill>
        </w:rPr>
        <w:t>5.</w:t>
      </w:r>
      <w:r>
        <w:rPr>
          <w:rFonts w:hint="eastAsia" w:ascii="仿宋" w:hAnsi="仿宋" w:eastAsia="仿宋" w:cs="仿宋"/>
          <w:b/>
          <w:color w:val="000000" w:themeColor="text1"/>
          <w:sz w:val="30"/>
          <w:szCs w:val="30"/>
          <w:u w:val="none"/>
          <w14:textFill>
            <w14:solidFill>
              <w14:schemeClr w14:val="tx1"/>
            </w14:solidFill>
          </w14:textFill>
        </w:rPr>
        <w:t>健全</w:t>
      </w:r>
      <w:r>
        <w:rPr>
          <w:rFonts w:hint="eastAsia" w:ascii="仿宋" w:hAnsi="仿宋" w:eastAsia="仿宋" w:cs="仿宋"/>
          <w:b/>
          <w:color w:val="auto"/>
          <w:sz w:val="30"/>
          <w:szCs w:val="30"/>
          <w:u w:val="none"/>
          <w:lang w:eastAsia="zh-CN"/>
        </w:rPr>
        <w:t>立德树人机制</w:t>
      </w:r>
      <w:r>
        <w:rPr>
          <w:rFonts w:hint="eastAsia" w:ascii="仿宋" w:hAnsi="仿宋" w:eastAsia="仿宋" w:cs="仿宋"/>
          <w:b/>
          <w:color w:val="auto"/>
          <w:sz w:val="30"/>
          <w:szCs w:val="30"/>
          <w:u w:val="none"/>
        </w:rPr>
        <w:t>，</w:t>
      </w:r>
      <w:r>
        <w:rPr>
          <w:rFonts w:hint="eastAsia" w:cs="仿宋"/>
          <w:b/>
          <w:color w:val="FF0000"/>
          <w:sz w:val="30"/>
          <w:szCs w:val="30"/>
          <w:u w:val="none"/>
          <w:lang w:eastAsia="zh-CN"/>
        </w:rPr>
        <w:t>建设育人质量新文化</w:t>
      </w:r>
      <w:bookmarkEnd w:id="77"/>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打造以提高应用型人才培养水平为核心的质量文化，完善教学督导评估机制，健全教学质量保障体系，发挥基层教研室作用，强化学院教学质量管理。按照国家《深化新时代教育评价改革总体方案》要求</w:t>
      </w:r>
      <w:r>
        <w:rPr>
          <w:rFonts w:hint="eastAsia" w:ascii="仿宋" w:hAnsi="仿宋" w:eastAsia="仿宋" w:cs="仿宋"/>
          <w:b w:val="0"/>
          <w:bCs/>
          <w:color w:val="auto"/>
          <w:kern w:val="2"/>
          <w:sz w:val="30"/>
          <w:szCs w:val="30"/>
          <w:u w:val="none"/>
          <w:lang w:val="en-US" w:eastAsia="zh-CN" w:bidi="ar-SA"/>
        </w:rPr>
        <w:t>，建立破立并举的新型评价体系</w:t>
      </w:r>
      <w:r>
        <w:rPr>
          <w:rFonts w:hint="eastAsia" w:ascii="仿宋" w:hAnsi="仿宋" w:eastAsia="仿宋" w:cs="仿宋"/>
          <w:b w:val="0"/>
          <w:bCs/>
          <w:color w:val="FF0000"/>
          <w:kern w:val="2"/>
          <w:sz w:val="30"/>
          <w:szCs w:val="30"/>
          <w:u w:val="none"/>
          <w:lang w:val="en-US" w:eastAsia="zh-CN" w:bidi="ar-SA"/>
        </w:rPr>
        <w:t>。</w:t>
      </w: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修订完</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善教育教学奖励政策，重点加大对教师育人能力和实践能力的评价与考核力度。实施教师分类评价管理和分类评价办法，构建以教学过程评价和</w:t>
      </w:r>
      <w:r>
        <w:rPr>
          <w:rFonts w:hint="eastAsia" w:ascii="仿宋" w:hAnsi="仿宋" w:eastAsia="仿宋" w:cs="仿宋"/>
          <w:color w:val="FF0000"/>
          <w:kern w:val="0"/>
          <w:sz w:val="30"/>
          <w:szCs w:val="30"/>
          <w:u w:val="none"/>
          <w:lang w:val="en-US" w:eastAsia="zh-CN" w:bidi="ar"/>
        </w:rPr>
        <w:t>育人</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效果评价为主要目标、多维度评价相结合的综合评价体系。开展由政府、学校、家长及行业、企业等多方参与的人才培养质量第三方评价活动，建立人才培养质量跟踪与完善制度。</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both"/>
        <w:textAlignment w:val="auto"/>
        <w:outlineLvl w:val="1"/>
        <w:rPr>
          <w:rFonts w:hint="eastAsia" w:ascii="仿宋" w:hAnsi="仿宋" w:eastAsia="仿宋" w:cs="仿宋"/>
          <w:b/>
          <w:bCs/>
          <w:color w:val="FF0000"/>
          <w:kern w:val="0"/>
          <w:sz w:val="30"/>
          <w:szCs w:val="30"/>
          <w:u w:val="none"/>
          <w:lang w:val="en-US" w:eastAsia="zh-CN" w:bidi="ar"/>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 xml:space="preserve"> </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 xml:space="preserve">  </w:t>
      </w:r>
      <w:bookmarkStart w:id="78" w:name="_Toc880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（五）</w:t>
      </w:r>
      <w:r>
        <w:rPr>
          <w:rFonts w:hint="eastAsia" w:ascii="仿宋" w:hAnsi="仿宋" w:eastAsia="仿宋" w:cs="仿宋"/>
          <w:b/>
          <w:bCs/>
          <w:color w:val="FF0000"/>
          <w:kern w:val="0"/>
          <w:sz w:val="30"/>
          <w:szCs w:val="30"/>
          <w:u w:val="none"/>
          <w:lang w:val="en-US" w:eastAsia="zh-CN" w:bidi="ar"/>
        </w:rPr>
        <w:t>以完善引人用人机制为关键，打造高水平人才队伍建设新高地</w:t>
      </w:r>
      <w:bookmarkEnd w:id="78"/>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firstLine="602" w:firstLineChars="200"/>
        <w:jc w:val="both"/>
        <w:textAlignment w:val="auto"/>
        <w:outlineLvl w:val="2"/>
        <w:rPr>
          <w:rFonts w:hint="eastAsia" w:ascii="仿宋" w:hAnsi="仿宋" w:eastAsia="仿宋" w:cs="仿宋"/>
          <w:b/>
          <w:bCs/>
          <w:color w:val="000000" w:themeColor="text1"/>
          <w:kern w:val="0"/>
          <w:sz w:val="30"/>
          <w:szCs w:val="30"/>
          <w:u w:val="none"/>
          <w:lang w:eastAsia="zh-CN" w:bidi="ar"/>
          <w14:textFill>
            <w14:solidFill>
              <w14:schemeClr w14:val="tx1"/>
            </w14:solidFill>
          </w14:textFill>
        </w:rPr>
      </w:pPr>
      <w:bookmarkStart w:id="79" w:name="_Toc3091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1.</w:t>
      </w:r>
      <w:r>
        <w:rPr>
          <w:rFonts w:hint="eastAsia" w:ascii="仿宋" w:hAnsi="仿宋" w:eastAsia="仿宋" w:cs="仿宋"/>
          <w:b/>
          <w:bCs/>
          <w:color w:val="000000" w:themeColor="text1"/>
          <w:kern w:val="0"/>
          <w:sz w:val="30"/>
          <w:szCs w:val="30"/>
          <w:u w:val="none"/>
          <w:lang w:eastAsia="zh-CN" w:bidi="ar"/>
          <w14:textFill>
            <w14:solidFill>
              <w14:schemeClr w14:val="tx1"/>
            </w14:solidFill>
          </w14:textFill>
        </w:rPr>
        <w:t>坚持</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引育并举，实施人才</w:t>
      </w:r>
      <w:r>
        <w:rPr>
          <w:rFonts w:hint="eastAsia" w:ascii="仿宋" w:hAnsi="仿宋" w:eastAsia="仿宋" w:cs="仿宋"/>
          <w:b/>
          <w:bCs/>
          <w:color w:val="000000" w:themeColor="text1"/>
          <w:kern w:val="0"/>
          <w:sz w:val="30"/>
          <w:szCs w:val="30"/>
          <w:u w:val="none"/>
          <w:lang w:eastAsia="zh-CN" w:bidi="ar"/>
          <w14:textFill>
            <w14:solidFill>
              <w14:schemeClr w14:val="tx1"/>
            </w14:solidFill>
          </w14:textFill>
        </w:rPr>
        <w:t>队伍</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质量提升</w:t>
      </w:r>
      <w:r>
        <w:rPr>
          <w:rFonts w:hint="eastAsia" w:ascii="仿宋" w:hAnsi="仿宋" w:eastAsia="仿宋" w:cs="仿宋"/>
          <w:b/>
          <w:bCs/>
          <w:color w:val="000000" w:themeColor="text1"/>
          <w:kern w:val="0"/>
          <w:sz w:val="30"/>
          <w:szCs w:val="30"/>
          <w:u w:val="none"/>
          <w:lang w:eastAsia="zh-CN" w:bidi="ar"/>
          <w14:textFill>
            <w14:solidFill>
              <w14:schemeClr w14:val="tx1"/>
            </w14:solidFill>
          </w14:textFill>
        </w:rPr>
        <w:t>工程</w:t>
      </w:r>
      <w:bookmarkEnd w:id="79"/>
    </w:p>
    <w:p>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以构建一流人才队伍建设为目标，大力推进高层次人才引进和培育、教</w:t>
      </w:r>
      <w:r>
        <w:rPr>
          <w:rFonts w:hint="eastAsia" w:ascii="仿宋" w:hAnsi="仿宋" w:eastAsia="仿宋" w:cs="仿宋"/>
          <w:color w:val="000000" w:themeColor="text1"/>
          <w:kern w:val="0"/>
          <w:sz w:val="30"/>
          <w:szCs w:val="30"/>
          <w:u w:val="none"/>
          <w:lang w:eastAsia="zh-CN" w:bidi="ar"/>
          <w14:textFill>
            <w14:solidFill>
              <w14:schemeClr w14:val="tx1"/>
            </w14:solidFill>
          </w14:textFill>
        </w:rPr>
        <w:t>师育人</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水平提升两项计划</w:t>
      </w:r>
      <w:r>
        <w:rPr>
          <w:rFonts w:hint="eastAsia" w:ascii="仿宋" w:hAnsi="仿宋" w:eastAsia="仿宋" w:cs="仿宋"/>
          <w:color w:val="000000" w:themeColor="text1"/>
          <w:kern w:val="0"/>
          <w:sz w:val="30"/>
          <w:szCs w:val="30"/>
          <w:u w:val="none"/>
          <w:lang w:eastAsia="zh-CN" w:bidi="ar"/>
          <w14:textFill>
            <w14:solidFill>
              <w14:schemeClr w14:val="tx1"/>
            </w14:solidFill>
          </w14:textFill>
        </w:rPr>
        <w:t>。</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持续加大人才引进力度，</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吸引和激励高层次人才，力争引进和培养博士200名左右，培育一支拥有100名左右高层次学术技术带头人</w:t>
      </w:r>
      <w:r>
        <w:rPr>
          <w:rFonts w:hint="eastAsia" w:ascii="仿宋" w:hAnsi="仿宋" w:eastAsia="仿宋" w:cs="仿宋"/>
          <w:color w:val="000000" w:themeColor="text1"/>
          <w:kern w:val="0"/>
          <w:sz w:val="30"/>
          <w:szCs w:val="30"/>
          <w:u w:val="none"/>
          <w:lang w:eastAsia="zh-CN" w:bidi="ar"/>
          <w14:textFill>
            <w14:solidFill>
              <w14:schemeClr w14:val="tx1"/>
            </w14:solidFill>
          </w14:textFill>
        </w:rPr>
        <w:t>和</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领军人才、可支撑学校</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接续</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发展的年富力强</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的人才</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队伍。</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加强师德师风建设</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，建立健全教育、宣传、考核、监督与奖惩相结合的师德师风建设长效机制。</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着力培养具有较强教学能力的教学骨干</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，加大中青年教师培养力度，推进青年教师成长工程和培养计划，提升</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青年教师</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教学科研水平，探索构建校企、校地、校校联合的协同育人机制，打造校内外结合的高水平教学创新团队</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。切实加强“双师双能”</w:t>
      </w:r>
      <w:r>
        <w:rPr>
          <w:rFonts w:hint="eastAsia" w:ascii="仿宋" w:hAnsi="仿宋" w:eastAsia="仿宋" w:cs="仿宋"/>
          <w:b/>
          <w:bCs/>
          <w:color w:val="000000" w:themeColor="text1"/>
          <w:kern w:val="0"/>
          <w:sz w:val="30"/>
          <w:szCs w:val="30"/>
          <w:u w:val="none"/>
          <w:lang w:eastAsia="zh-CN" w:bidi="ar"/>
          <w14:textFill>
            <w14:solidFill>
              <w14:schemeClr w14:val="tx1"/>
            </w14:solidFill>
          </w14:textFill>
        </w:rPr>
        <w:t>型</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教师队伍建设，让教师强起来。</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全面开展教师教学能力常态化提升培训，重点面向新入职和青年教师开展岗前和在岗专业科目培训，实施青年骨干教师国内外访学计划、挂职锻炼和社会实践。到“十四五”末实现专兼职“双师双能”教师总量占专任教师比例达到</w:t>
      </w:r>
      <w:r>
        <w:rPr>
          <w:rFonts w:hint="eastAsia" w:ascii="仿宋" w:hAnsi="仿宋" w:eastAsia="仿宋" w:cs="仿宋"/>
          <w:b w:val="0"/>
          <w:bCs w:val="0"/>
          <w:color w:val="0000FF"/>
          <w:kern w:val="0"/>
          <w:sz w:val="30"/>
          <w:szCs w:val="30"/>
          <w:u w:val="none"/>
          <w:lang w:val="en-US" w:eastAsia="zh-CN" w:bidi="ar"/>
        </w:rPr>
        <w:t>60%</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左右。着力完善师资队伍职称结构和</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学历结构，</w:t>
      </w:r>
      <w:r>
        <w:rPr>
          <w:rFonts w:hint="eastAsia" w:ascii="仿宋" w:hAnsi="仿宋" w:eastAsia="仿宋" w:cs="仿宋"/>
          <w:color w:val="000000" w:themeColor="text1"/>
          <w:kern w:val="0"/>
          <w:sz w:val="30"/>
          <w:szCs w:val="30"/>
          <w:u w:val="none"/>
          <w:lang w:eastAsia="zh-CN" w:bidi="ar"/>
          <w14:textFill>
            <w14:solidFill>
              <w14:schemeClr w14:val="tx1"/>
            </w14:solidFill>
          </w14:textFill>
        </w:rPr>
        <w:t>“十四五”末，</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高</w:t>
      </w:r>
      <w:r>
        <w:rPr>
          <w:rFonts w:hint="eastAsia" w:ascii="仿宋" w:hAnsi="仿宋" w:eastAsia="仿宋" w:cs="仿宋"/>
          <w:color w:val="000000" w:themeColor="text1"/>
          <w:kern w:val="0"/>
          <w:sz w:val="30"/>
          <w:szCs w:val="30"/>
          <w:u w:val="none"/>
          <w:lang w:eastAsia="zh-CN" w:bidi="ar"/>
          <w14:textFill>
            <w14:solidFill>
              <w14:schemeClr w14:val="tx1"/>
            </w14:solidFill>
          </w14:textFill>
        </w:rPr>
        <w:t>学历</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color w:val="000000" w:themeColor="text1"/>
          <w:kern w:val="0"/>
          <w:sz w:val="30"/>
          <w:szCs w:val="30"/>
          <w:u w:val="none"/>
          <w:lang w:eastAsia="zh-CN" w:bidi="ar"/>
          <w14:textFill>
            <w14:solidFill>
              <w14:schemeClr w14:val="tx1"/>
            </w14:solidFill>
          </w14:textFill>
        </w:rPr>
        <w:t>高职称</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教师占专任教师比例分别达到</w:t>
      </w:r>
      <w:r>
        <w:rPr>
          <w:rFonts w:hint="eastAsia" w:ascii="仿宋" w:hAnsi="仿宋" w:eastAsia="仿宋" w:cs="仿宋"/>
          <w:color w:val="000000" w:themeColor="text1"/>
          <w:kern w:val="0"/>
          <w:sz w:val="30"/>
          <w:szCs w:val="30"/>
          <w:u w:val="none"/>
          <w:lang w:eastAsia="zh-CN" w:bidi="ar"/>
          <w14:textFill>
            <w14:solidFill>
              <w14:schemeClr w14:val="tx1"/>
            </w14:solidFill>
          </w14:textFill>
        </w:rPr>
        <w:t>90%</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和</w:t>
      </w:r>
      <w:r>
        <w:rPr>
          <w:rFonts w:hint="eastAsia" w:ascii="仿宋" w:hAnsi="仿宋" w:eastAsia="仿宋" w:cs="仿宋"/>
          <w:color w:val="000000" w:themeColor="text1"/>
          <w:kern w:val="0"/>
          <w:sz w:val="30"/>
          <w:szCs w:val="30"/>
          <w:u w:val="none"/>
          <w:lang w:eastAsia="zh-CN" w:bidi="ar"/>
          <w14:textFill>
            <w14:solidFill>
              <w14:schemeClr w14:val="tx1"/>
            </w14:solidFill>
          </w14:textFill>
        </w:rPr>
        <w:t>35%以上，</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打造一支数量充足、结构合理、素质优良的</w:t>
      </w:r>
      <w:r>
        <w:rPr>
          <w:rFonts w:hint="eastAsia" w:ascii="仿宋" w:hAnsi="仿宋" w:eastAsia="仿宋" w:cs="仿宋"/>
          <w:color w:val="000000" w:themeColor="text1"/>
          <w:kern w:val="0"/>
          <w:sz w:val="30"/>
          <w:szCs w:val="30"/>
          <w:u w:val="none"/>
          <w:lang w:eastAsia="zh-CN" w:bidi="ar"/>
          <w14:textFill>
            <w14:solidFill>
              <w14:schemeClr w14:val="tx1"/>
            </w14:solidFill>
          </w14:textFill>
        </w:rPr>
        <w:t>应用型</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创新型师资队伍。</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加大思政课教师队伍建设力度</w:t>
      </w:r>
      <w:r>
        <w:rPr>
          <w:rFonts w:hint="eastAsia" w:ascii="仿宋" w:hAnsi="仿宋" w:eastAsia="仿宋" w:cs="仿宋"/>
          <w:b w:val="0"/>
          <w:bCs w:val="0"/>
          <w:color w:val="auto"/>
          <w:kern w:val="0"/>
          <w:sz w:val="30"/>
          <w:szCs w:val="30"/>
          <w:u w:val="none"/>
          <w:lang w:val="en-US" w:eastAsia="zh-CN" w:bidi="ar"/>
        </w:rPr>
        <w:t>，思政课教师师生比达到1:350，专职辅导员师生比达到1:200，</w:t>
      </w:r>
      <w:r>
        <w:rPr>
          <w:rFonts w:hint="eastAsia" w:ascii="仿宋" w:hAnsi="仿宋" w:eastAsia="仿宋" w:cs="仿宋"/>
          <w:color w:val="auto"/>
          <w:kern w:val="0"/>
          <w:sz w:val="30"/>
          <w:szCs w:val="30"/>
          <w:u w:val="none"/>
          <w:lang w:val="en-US" w:eastAsia="zh-CN" w:bidi="ar"/>
        </w:rPr>
        <w:t>打造</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一支</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专职为主、专兼结合、数量充足、素质优良的思想政治工作队伍。</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sz w:val="30"/>
          <w:szCs w:val="30"/>
          <w:u w:val="none"/>
          <w14:textFill>
            <w14:solidFill>
              <w14:schemeClr w14:val="tx1"/>
            </w14:solidFill>
          </w14:textFill>
        </w:rPr>
      </w:pPr>
      <w:bookmarkStart w:id="80" w:name="_Toc216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2.</w:t>
      </w:r>
      <w:r>
        <w:rPr>
          <w:rFonts w:hint="eastAsia" w:ascii="仿宋" w:hAnsi="仿宋" w:eastAsia="仿宋" w:cs="仿宋"/>
          <w:b/>
          <w:bCs/>
          <w:color w:val="000000" w:themeColor="text1"/>
          <w:kern w:val="0"/>
          <w:sz w:val="30"/>
          <w:szCs w:val="30"/>
          <w:u w:val="none"/>
          <w:lang w:eastAsia="zh-CN" w:bidi="ar"/>
          <w14:textFill>
            <w14:solidFill>
              <w14:schemeClr w14:val="tx1"/>
            </w14:solidFill>
          </w14:textFill>
        </w:rPr>
        <w:t>坚持</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分类施策，优化配置各类人才资源</w:t>
      </w:r>
      <w:bookmarkEnd w:id="80"/>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0" w:leftChars="0" w:right="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bookmarkStart w:id="81" w:name="_Toc31759"/>
      <w:bookmarkStart w:id="82" w:name="_Toc3120"/>
      <w:bookmarkStart w:id="83" w:name="_Toc32105"/>
      <w:bookmarkStart w:id="84" w:name="_Toc15352"/>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根据学校目标定位及实际需要，结合学科发展，科学核定教学科研、教学辅助、党政管理等岗位数</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量</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统筹推进</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各单位人才</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资源的科学、高效与精</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细化</w:t>
      </w:r>
      <w:r>
        <w:rPr>
          <w:rFonts w:hint="eastAsia" w:ascii="仿宋" w:hAnsi="仿宋" w:eastAsia="仿宋" w:cs="仿宋"/>
          <w:b w:val="0"/>
          <w:bCs w:val="0"/>
          <w:color w:val="000000" w:themeColor="text1"/>
          <w:kern w:val="0"/>
          <w:sz w:val="30"/>
          <w:szCs w:val="30"/>
          <w:u w:val="none"/>
          <w:lang w:eastAsia="zh-CN" w:bidi="ar"/>
          <w14:textFill>
            <w14:solidFill>
              <w14:schemeClr w14:val="tx1"/>
            </w14:solidFill>
          </w14:textFill>
        </w:rPr>
        <w:t>管理</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b w:val="0"/>
          <w:bCs w:val="0"/>
          <w:color w:val="auto"/>
          <w:kern w:val="0"/>
          <w:sz w:val="30"/>
          <w:szCs w:val="30"/>
          <w:u w:val="none"/>
          <w:lang w:val="en-US" w:eastAsia="zh-CN" w:bidi="ar"/>
        </w:rPr>
        <w:t>设立教学型、教学</w:t>
      </w:r>
      <w:r>
        <w:rPr>
          <w:rFonts w:hint="eastAsia" w:cs="仿宋"/>
          <w:b w:val="0"/>
          <w:bCs w:val="0"/>
          <w:color w:val="auto"/>
          <w:kern w:val="0"/>
          <w:sz w:val="30"/>
          <w:szCs w:val="30"/>
          <w:u w:val="none"/>
          <w:lang w:val="en-US" w:eastAsia="zh-CN" w:bidi="ar"/>
        </w:rPr>
        <w:t>科研</w:t>
      </w:r>
      <w:r>
        <w:rPr>
          <w:rFonts w:hint="eastAsia" w:ascii="仿宋" w:hAnsi="仿宋" w:eastAsia="仿宋" w:cs="仿宋"/>
          <w:b w:val="0"/>
          <w:bCs w:val="0"/>
          <w:color w:val="auto"/>
          <w:kern w:val="0"/>
          <w:sz w:val="30"/>
          <w:szCs w:val="30"/>
          <w:u w:val="none"/>
          <w:lang w:val="en-US" w:eastAsia="zh-CN" w:bidi="ar"/>
        </w:rPr>
        <w:t>型、社会服务型等不同类型的专业技术岗位，完善教师分类标准，强化分类管理。以岗位责任制为抓手，注重结合人员发展的特点</w:t>
      </w:r>
      <w:r>
        <w:rPr>
          <w:rFonts w:hint="eastAsia" w:ascii="仿宋" w:hAnsi="仿宋" w:eastAsia="仿宋" w:cs="仿宋"/>
          <w:b w:val="0"/>
          <w:bCs w:val="0"/>
          <w:color w:val="auto"/>
          <w:kern w:val="0"/>
          <w:sz w:val="30"/>
          <w:szCs w:val="30"/>
          <w:u w:val="none"/>
          <w:lang w:eastAsia="zh-CN" w:bidi="ar"/>
        </w:rPr>
        <w:t>和</w:t>
      </w:r>
      <w:r>
        <w:rPr>
          <w:rFonts w:hint="eastAsia" w:ascii="仿宋" w:hAnsi="仿宋" w:eastAsia="仿宋" w:cs="仿宋"/>
          <w:b w:val="0"/>
          <w:bCs w:val="0"/>
          <w:color w:val="auto"/>
          <w:kern w:val="0"/>
          <w:sz w:val="30"/>
          <w:szCs w:val="30"/>
          <w:u w:val="none"/>
          <w:lang w:val="en-US" w:eastAsia="zh-CN" w:bidi="ar"/>
        </w:rPr>
        <w:t>不同学科特点，健全不同类型教师分类评价体系。</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构建教师“学术影响力”、“行业影响力”、“社会影响力”三位一体的综合评价机制，完善“人尽其才，才尽其用”的工作机制，激发教师的创造活力。</w:t>
      </w:r>
      <w:bookmarkEnd w:id="81"/>
      <w:bookmarkEnd w:id="82"/>
      <w:bookmarkEnd w:id="83"/>
      <w:bookmarkEnd w:id="84"/>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firstLine="602" w:firstLineChars="200"/>
        <w:jc w:val="both"/>
        <w:textAlignment w:val="auto"/>
        <w:outlineLvl w:val="2"/>
        <w:rPr>
          <w:rFonts w:hint="eastAsia" w:ascii="仿宋" w:hAnsi="仿宋" w:eastAsia="仿宋" w:cs="仿宋"/>
          <w:b/>
          <w:bCs/>
          <w:color w:val="auto"/>
          <w:kern w:val="0"/>
          <w:sz w:val="30"/>
          <w:szCs w:val="30"/>
          <w:u w:val="none"/>
          <w:lang w:val="en-US" w:eastAsia="zh-CN" w:bidi="ar"/>
        </w:rPr>
      </w:pPr>
      <w:bookmarkStart w:id="85" w:name="_Toc23831"/>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3.</w:t>
      </w:r>
      <w:r>
        <w:rPr>
          <w:rFonts w:hint="eastAsia" w:ascii="仿宋" w:hAnsi="仿宋" w:eastAsia="仿宋" w:cs="仿宋"/>
          <w:b/>
          <w:bCs/>
          <w:color w:val="000000" w:themeColor="text1"/>
          <w:kern w:val="0"/>
          <w:sz w:val="30"/>
          <w:szCs w:val="30"/>
          <w:u w:val="none"/>
          <w:lang w:eastAsia="zh-CN" w:bidi="ar"/>
          <w14:textFill>
            <w14:solidFill>
              <w14:schemeClr w14:val="tx1"/>
            </w14:solidFill>
          </w14:textFill>
        </w:rPr>
        <w:t>坚持</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待遇激励</w:t>
      </w:r>
      <w:r>
        <w:rPr>
          <w:rFonts w:hint="eastAsia" w:ascii="仿宋" w:hAnsi="仿宋" w:eastAsia="仿宋" w:cs="仿宋"/>
          <w:b/>
          <w:bCs/>
          <w:color w:val="auto"/>
          <w:kern w:val="0"/>
          <w:sz w:val="30"/>
          <w:szCs w:val="30"/>
          <w:u w:val="none"/>
          <w:lang w:val="en-US" w:eastAsia="zh-CN" w:bidi="ar"/>
        </w:rPr>
        <w:t>，健全人事与分配改革制度</w:t>
      </w:r>
      <w:bookmarkEnd w:id="85"/>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0" w:leftChars="0" w:right="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bookmarkStart w:id="86" w:name="_Toc6604"/>
      <w:bookmarkStart w:id="87" w:name="_Toc13814"/>
      <w:bookmarkStart w:id="88" w:name="_Toc22464"/>
      <w:bookmarkStart w:id="89" w:name="_Toc16974"/>
      <w:r>
        <w:rPr>
          <w:rFonts w:hint="eastAsia" w:ascii="仿宋" w:hAnsi="仿宋" w:eastAsia="仿宋" w:cs="仿宋"/>
          <w:b w:val="0"/>
          <w:bCs w:val="0"/>
          <w:color w:val="auto"/>
          <w:kern w:val="0"/>
          <w:sz w:val="30"/>
          <w:szCs w:val="30"/>
          <w:u w:val="none"/>
          <w:lang w:val="en-US" w:eastAsia="zh-CN" w:bidi="ar"/>
        </w:rPr>
        <w:t>加强制度设计，制定符合校情的薪酬</w:t>
      </w:r>
      <w:r>
        <w:rPr>
          <w:rFonts w:hint="eastAsia" w:ascii="仿宋" w:hAnsi="仿宋" w:eastAsia="仿宋" w:cs="仿宋"/>
          <w:b w:val="0"/>
          <w:bCs w:val="0"/>
          <w:color w:val="auto"/>
          <w:kern w:val="0"/>
          <w:sz w:val="30"/>
          <w:szCs w:val="30"/>
          <w:u w:val="none"/>
          <w:lang w:eastAsia="zh-CN" w:bidi="ar"/>
        </w:rPr>
        <w:t>策略</w:t>
      </w:r>
      <w:r>
        <w:rPr>
          <w:rFonts w:hint="eastAsia" w:cs="仿宋"/>
          <w:b w:val="0"/>
          <w:bCs w:val="0"/>
          <w:color w:val="auto"/>
          <w:kern w:val="0"/>
          <w:sz w:val="30"/>
          <w:szCs w:val="30"/>
          <w:u w:val="none"/>
          <w:lang w:val="en-US" w:eastAsia="zh-CN" w:bidi="ar"/>
        </w:rPr>
        <w:t>，</w:t>
      </w:r>
      <w:r>
        <w:rPr>
          <w:rFonts w:hint="eastAsia" w:cs="仿宋"/>
          <w:b w:val="0"/>
          <w:bCs w:val="0"/>
          <w:color w:val="000000" w:themeColor="text1"/>
          <w:kern w:val="0"/>
          <w:sz w:val="30"/>
          <w:szCs w:val="30"/>
          <w:u w:val="none"/>
          <w:lang w:val="en-US" w:eastAsia="zh-CN" w:bidi="ar"/>
          <w14:textFill>
            <w14:solidFill>
              <w14:schemeClr w14:val="tx1"/>
            </w14:solidFill>
          </w14:textFill>
        </w:rPr>
        <w:t>建立和</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完善</w:t>
      </w:r>
      <w:r>
        <w:rPr>
          <w:rFonts w:hint="eastAsia" w:cs="仿宋"/>
          <w:b w:val="0"/>
          <w:bCs w:val="0"/>
          <w:color w:val="000000" w:themeColor="text1"/>
          <w:kern w:val="0"/>
          <w:sz w:val="30"/>
          <w:szCs w:val="30"/>
          <w:u w:val="none"/>
          <w:lang w:val="en-US" w:eastAsia="zh-CN" w:bidi="ar"/>
          <w14:textFill>
            <w14:solidFill>
              <w14:schemeClr w14:val="tx1"/>
            </w14:solidFill>
          </w14:textFill>
        </w:rPr>
        <w:t>相关</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激励机制，着力</w:t>
      </w:r>
      <w:r>
        <w:rPr>
          <w:rFonts w:hint="eastAsia" w:cs="仿宋"/>
          <w:b w:val="0"/>
          <w:bCs w:val="0"/>
          <w:color w:val="auto"/>
          <w:kern w:val="0"/>
          <w:sz w:val="30"/>
          <w:szCs w:val="30"/>
          <w:u w:val="none"/>
          <w:lang w:val="en-US" w:eastAsia="zh-CN" w:bidi="ar"/>
        </w:rPr>
        <w:t>解决制约学校发展的诸多不利因素</w:t>
      </w:r>
      <w:r>
        <w:rPr>
          <w:rFonts w:hint="eastAsia" w:ascii="仿宋" w:hAnsi="仿宋" w:eastAsia="仿宋" w:cs="仿宋"/>
          <w:b w:val="0"/>
          <w:bCs w:val="0"/>
          <w:color w:val="auto"/>
          <w:kern w:val="0"/>
          <w:sz w:val="30"/>
          <w:szCs w:val="30"/>
          <w:u w:val="none"/>
          <w:lang w:val="en-US" w:eastAsia="zh-CN" w:bidi="ar"/>
        </w:rPr>
        <w:t>，进一步激发教职员工</w:t>
      </w:r>
      <w:r>
        <w:rPr>
          <w:rFonts w:hint="eastAsia" w:cs="仿宋"/>
          <w:b w:val="0"/>
          <w:bCs w:val="0"/>
          <w:color w:val="auto"/>
          <w:kern w:val="0"/>
          <w:sz w:val="30"/>
          <w:szCs w:val="30"/>
          <w:u w:val="none"/>
          <w:lang w:val="en-US" w:eastAsia="zh-CN" w:bidi="ar"/>
        </w:rPr>
        <w:t>干事创业</w:t>
      </w:r>
      <w:r>
        <w:rPr>
          <w:rFonts w:hint="eastAsia" w:ascii="仿宋" w:hAnsi="仿宋" w:eastAsia="仿宋" w:cs="仿宋"/>
          <w:b w:val="0"/>
          <w:bCs w:val="0"/>
          <w:color w:val="auto"/>
          <w:kern w:val="0"/>
          <w:sz w:val="30"/>
          <w:szCs w:val="30"/>
          <w:u w:val="none"/>
          <w:lang w:val="en-US" w:eastAsia="zh-CN" w:bidi="ar"/>
        </w:rPr>
        <w:t>的</w:t>
      </w:r>
      <w:r>
        <w:rPr>
          <w:rFonts w:hint="eastAsia" w:cs="仿宋"/>
          <w:b w:val="0"/>
          <w:bCs w:val="0"/>
          <w:color w:val="auto"/>
          <w:kern w:val="0"/>
          <w:sz w:val="30"/>
          <w:szCs w:val="30"/>
          <w:u w:val="none"/>
          <w:lang w:val="en-US" w:eastAsia="zh-CN" w:bidi="ar"/>
        </w:rPr>
        <w:t>主动性与创造性</w:t>
      </w:r>
      <w:r>
        <w:rPr>
          <w:rFonts w:hint="eastAsia" w:ascii="仿宋" w:hAnsi="仿宋" w:eastAsia="仿宋" w:cs="仿宋"/>
          <w:b w:val="0"/>
          <w:bCs w:val="0"/>
          <w:color w:val="auto"/>
          <w:kern w:val="0"/>
          <w:sz w:val="30"/>
          <w:szCs w:val="30"/>
          <w:u w:val="none"/>
          <w:lang w:val="en-US" w:eastAsia="zh-CN" w:bidi="ar"/>
        </w:rPr>
        <w:t>。</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加大对创新人才激励力度，完善人才奖励制度，</w:t>
      </w:r>
      <w:r>
        <w:rPr>
          <w:rFonts w:hint="eastAsia" w:cs="仿宋"/>
          <w:b w:val="0"/>
          <w:bCs w:val="0"/>
          <w:color w:val="000000" w:themeColor="text1"/>
          <w:kern w:val="0"/>
          <w:sz w:val="30"/>
          <w:szCs w:val="30"/>
          <w:u w:val="none"/>
          <w:lang w:val="en-US" w:eastAsia="zh-CN" w:bidi="ar"/>
          <w14:textFill>
            <w14:solidFill>
              <w14:schemeClr w14:val="tx1"/>
            </w14:solidFill>
          </w14:textFill>
        </w:rPr>
        <w:t>坚持把师德师风作为教师素质评价的首要标准；提高教学工作量报酬，加大对教师教学业绩的奖励力度，确保教学奖励与科研奖励相平衡，着</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力营造尊重劳动、尊重知识、尊重人才、尊重创造的良好氛围。完善权益保障与互助机制。</w:t>
      </w:r>
      <w:bookmarkEnd w:id="86"/>
      <w:bookmarkEnd w:id="87"/>
      <w:bookmarkEnd w:id="88"/>
      <w:bookmarkEnd w:id="89"/>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0" w:leftChars="0" w:right="0" w:firstLine="301" w:firstLineChars="100"/>
        <w:jc w:val="both"/>
        <w:textAlignment w:val="auto"/>
        <w:rPr>
          <w:rFonts w:hint="eastAsia" w:ascii="仿宋" w:hAnsi="仿宋" w:eastAsia="仿宋" w:cs="仿宋"/>
          <w:color w:val="FF0000"/>
          <w:sz w:val="30"/>
          <w:szCs w:val="30"/>
          <w:u w:val="none"/>
          <w:lang w:eastAsia="zh-CN"/>
        </w:rPr>
      </w:pPr>
      <w:bookmarkStart w:id="90" w:name="_Toc1556"/>
      <w:r>
        <w:rPr>
          <w:rFonts w:hint="eastAsia" w:ascii="仿宋" w:hAnsi="仿宋" w:eastAsia="仿宋" w:cs="仿宋"/>
          <w:color w:val="000000" w:themeColor="text1"/>
          <w:sz w:val="30"/>
          <w:szCs w:val="30"/>
          <w:u w:val="none"/>
          <w:lang w:eastAsia="zh-CN"/>
          <w14:textFill>
            <w14:solidFill>
              <w14:schemeClr w14:val="tx1"/>
            </w14:solidFill>
          </w14:textFill>
        </w:rPr>
        <w:t>（六）</w:t>
      </w:r>
      <w:r>
        <w:rPr>
          <w:rFonts w:hint="eastAsia" w:ascii="仿宋" w:hAnsi="仿宋" w:eastAsia="仿宋" w:cs="仿宋"/>
          <w:color w:val="FF0000"/>
          <w:sz w:val="30"/>
          <w:szCs w:val="30"/>
          <w:u w:val="none"/>
          <w:lang w:eastAsia="zh-CN"/>
        </w:rPr>
        <w:t>以</w:t>
      </w:r>
      <w:r>
        <w:rPr>
          <w:rFonts w:hint="eastAsia" w:ascii="仿宋" w:hAnsi="仿宋" w:eastAsia="仿宋" w:cs="仿宋"/>
          <w:b/>
          <w:bCs/>
          <w:color w:val="FF0000"/>
          <w:kern w:val="0"/>
          <w:sz w:val="30"/>
          <w:szCs w:val="30"/>
          <w:u w:val="none"/>
          <w:lang w:val="en-US" w:eastAsia="zh-CN" w:bidi="ar"/>
        </w:rPr>
        <w:t>行业产业</w:t>
      </w:r>
      <w:r>
        <w:rPr>
          <w:rFonts w:hint="eastAsia" w:ascii="仿宋" w:hAnsi="仿宋" w:eastAsia="仿宋" w:cs="仿宋"/>
          <w:color w:val="FF0000"/>
          <w:sz w:val="30"/>
          <w:szCs w:val="30"/>
          <w:u w:val="none"/>
          <w:lang w:eastAsia="zh-CN"/>
        </w:rPr>
        <w:t>需求为导向</w:t>
      </w:r>
      <w:r>
        <w:rPr>
          <w:rFonts w:hint="eastAsia" w:ascii="仿宋" w:hAnsi="仿宋" w:eastAsia="仿宋" w:cs="仿宋"/>
          <w:color w:val="FF0000"/>
          <w:sz w:val="30"/>
          <w:szCs w:val="30"/>
          <w:u w:val="none"/>
        </w:rPr>
        <w:t>，</w:t>
      </w:r>
      <w:r>
        <w:rPr>
          <w:rFonts w:hint="eastAsia" w:ascii="仿宋" w:hAnsi="仿宋" w:eastAsia="仿宋" w:cs="仿宋"/>
          <w:color w:val="FF0000"/>
          <w:sz w:val="30"/>
          <w:szCs w:val="30"/>
          <w:u w:val="none"/>
          <w:lang w:eastAsia="zh-CN"/>
        </w:rPr>
        <w:t>实现社会服务能力新提升</w:t>
      </w:r>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91" w:name="_Toc8181"/>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1.聚焦科技创新前沿，打造高水平科技创新人才团队</w:t>
      </w:r>
      <w:r>
        <w:rPr>
          <w:rFonts w:hint="eastAsia" w:ascii="仿宋" w:hAnsi="仿宋" w:eastAsia="仿宋" w:cs="仿宋"/>
          <w:b/>
          <w:bCs/>
          <w:color w:val="FF0000"/>
          <w:kern w:val="0"/>
          <w:sz w:val="30"/>
          <w:szCs w:val="30"/>
          <w:u w:val="none"/>
          <w:lang w:val="en-US" w:eastAsia="zh-CN" w:bidi="ar"/>
        </w:rPr>
        <w:t>新实力</w:t>
      </w:r>
      <w:bookmarkEnd w:id="91"/>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坚持引进和培养相结合，汇聚领军人才，加强学科间的交叉融合，与地方政府、企事业单位等紧密合作，打造一批从事基础理论研究、应用研究和服务推广的多层次、多类型科技创新团队。“十四五”时期力争入围河南省高校科技创新人才支持计划与科技创新人才计划2-3人，新增 35个以上科技创新团队，2­3个省部级以上创新团队。推动新型智库建设，重点建设集调查、研究、咨询、服务于一体的“三农”高端智库，着力打造一支高水平决策咨询队伍，取得一批有重大影响的研究成果。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92" w:name="_Toc9316"/>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2.聚焦持续创新能力，搭建科教协同育人</w:t>
      </w:r>
      <w:r>
        <w:rPr>
          <w:rFonts w:hint="eastAsia" w:ascii="仿宋" w:hAnsi="仿宋" w:eastAsia="仿宋" w:cs="仿宋"/>
          <w:b/>
          <w:bCs/>
          <w:color w:val="FF0000"/>
          <w:kern w:val="0"/>
          <w:sz w:val="30"/>
          <w:szCs w:val="30"/>
          <w:u w:val="none"/>
          <w:lang w:val="en-US" w:eastAsia="zh-CN" w:bidi="ar"/>
        </w:rPr>
        <w:t>新平台</w:t>
      </w:r>
      <w:bookmarkEnd w:id="92"/>
    </w:p>
    <w:p>
      <w:pPr>
        <w:keepNext w:val="0"/>
        <w:keepLines w:val="0"/>
        <w:pageBreakBefore w:val="0"/>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建设高水平科技创新平台。</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依托工程技术研究中心、省级协同创新中心、产业技术创新战略联盟，建设高层次研究平台体系，并以此带动全校省部级重点实验室、工程技术中心等平台建设。以</w:t>
      </w:r>
      <w:r>
        <w:rPr>
          <w:rFonts w:hint="eastAsia" w:ascii="仿宋" w:hAnsi="仿宋" w:eastAsia="仿宋" w:cs="仿宋"/>
          <w:color w:val="000000" w:themeColor="text1"/>
          <w:sz w:val="30"/>
          <w:szCs w:val="30"/>
          <w:u w:val="none"/>
          <w14:textFill>
            <w14:solidFill>
              <w14:schemeClr w14:val="tx1"/>
            </w14:solidFill>
          </w14:textFill>
        </w:rPr>
        <w:t>农、林、牧、渔、茶</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优势学科为重点，加大学科共性创新平台建设。</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深化校地协同，完善产学研协同创新平台</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。依托鸡公山农科教人才培养基地建设等国家级农科教合作人才培养基地建设</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构建以我校为依托、以合作共建为主线、集“产、学、研、转、创、用”于一体，</w:t>
      </w:r>
      <w:r>
        <w:rPr>
          <w:rFonts w:hint="eastAsia" w:ascii="仿宋" w:hAnsi="仿宋" w:eastAsia="仿宋" w:cs="仿宋"/>
          <w:b w:val="0"/>
          <w:bCs w:val="0"/>
          <w:color w:val="FF0000"/>
          <w:kern w:val="0"/>
          <w:sz w:val="30"/>
          <w:szCs w:val="30"/>
          <w:u w:val="none"/>
          <w:lang w:val="en-US" w:eastAsia="zh-CN" w:bidi="ar"/>
        </w:rPr>
        <w:t>实现</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互补互利、互动多赢的农林产教融合示范基地。积极与有关行业企业、科研院所开展产学研合作，共建产业技术研究院、科研创新团队、重点实验室与基础设施平台、大学生校外实践基地。探索</w:t>
      </w:r>
      <w:r>
        <w:rPr>
          <w:rFonts w:hint="eastAsia" w:ascii="仿宋" w:hAnsi="仿宋" w:eastAsia="仿宋" w:cs="仿宋"/>
          <w:b w:val="0"/>
          <w:bCs w:val="0"/>
          <w:color w:val="FF0000"/>
          <w:kern w:val="0"/>
          <w:sz w:val="30"/>
          <w:szCs w:val="30"/>
          <w:u w:val="none"/>
          <w:lang w:val="en-US" w:eastAsia="zh-CN" w:bidi="ar"/>
        </w:rPr>
        <w:t>和完善</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产业链、创新链、教育链有机衔接机制，深度融入行业企业创新体系，拓展办学空间，</w:t>
      </w:r>
      <w:r>
        <w:rPr>
          <w:rFonts w:hint="eastAsia" w:ascii="仿宋" w:hAnsi="仿宋" w:eastAsia="仿宋" w:cs="仿宋"/>
          <w:b w:val="0"/>
          <w:bCs w:val="0"/>
          <w:color w:val="FF0000"/>
          <w:kern w:val="0"/>
          <w:sz w:val="30"/>
          <w:szCs w:val="30"/>
          <w:u w:val="none"/>
          <w:lang w:val="en-US" w:eastAsia="zh-CN" w:bidi="ar"/>
        </w:rPr>
        <w:t>融入</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行业产业优质办学资源，提升学校服务行业产业发展能力。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93" w:name="_Toc23505"/>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3.聚焦区域发展战略，提升社会服务能力</w:t>
      </w:r>
      <w:r>
        <w:rPr>
          <w:rFonts w:hint="eastAsia" w:ascii="仿宋" w:hAnsi="仿宋" w:eastAsia="仿宋" w:cs="仿宋"/>
          <w:b/>
          <w:bCs/>
          <w:color w:val="FF0000"/>
          <w:kern w:val="0"/>
          <w:sz w:val="30"/>
          <w:szCs w:val="30"/>
          <w:u w:val="none"/>
          <w:lang w:val="en-US" w:eastAsia="zh-CN" w:bidi="ar"/>
        </w:rPr>
        <w:t>新标杆</w:t>
      </w:r>
      <w:bookmarkEnd w:id="93"/>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围绕国家和地方重大战略需求，发挥学校办学优势，进一步提升科技服务能力。</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依托大别山革命老区发展研究院、</w:t>
      </w:r>
      <w:r>
        <w:rPr>
          <w:rFonts w:hint="eastAsia" w:ascii="仿宋" w:hAnsi="仿宋" w:eastAsia="仿宋" w:cs="仿宋"/>
          <w:b w:val="0"/>
          <w:bCs w:val="0"/>
          <w:color w:val="auto"/>
          <w:kern w:val="0"/>
          <w:sz w:val="30"/>
          <w:szCs w:val="30"/>
          <w:u w:val="none"/>
          <w:lang w:val="en-US" w:eastAsia="zh-CN" w:bidi="ar"/>
        </w:rPr>
        <w:t>大别山文化研究院、信</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阳市淮河生态经济研究院等平台，从文化旅游、互联互通、资源环境、乡村振兴与产业转型、科技教育、生态农林等方面，服务</w:t>
      </w:r>
      <w:r>
        <w:rPr>
          <w:rFonts w:hint="eastAsia" w:ascii="仿宋" w:hAnsi="仿宋" w:eastAsia="仿宋" w:cs="仿宋"/>
          <w:b w:val="0"/>
          <w:bCs w:val="0"/>
          <w:color w:val="auto"/>
          <w:kern w:val="0"/>
          <w:sz w:val="30"/>
          <w:szCs w:val="30"/>
          <w:u w:val="none"/>
          <w:lang w:val="en-US" w:eastAsia="zh-CN" w:bidi="ar"/>
        </w:rPr>
        <w:t>和支持</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大别山革命老区振兴发展</w:t>
      </w:r>
      <w:r>
        <w:rPr>
          <w:rFonts w:hint="eastAsia" w:ascii="仿宋" w:hAnsi="仿宋" w:eastAsia="仿宋" w:cs="仿宋"/>
          <w:b w:val="0"/>
          <w:bCs w:val="0"/>
          <w:color w:val="auto"/>
          <w:kern w:val="0"/>
          <w:sz w:val="30"/>
          <w:szCs w:val="30"/>
          <w:u w:val="none"/>
          <w:lang w:val="en-US" w:eastAsia="zh-CN" w:bidi="ar"/>
        </w:rPr>
        <w:t>及</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淮河生态经济高质量发展与生态文明建设。深化校地校企合作，开展混合所有制办学改革，与大型企业和社会资金合作举办混合所有制性质的二级学院（产业学院），依托各产业学院和继续教育学院等合作平台，联合开展校地、校企合作</w:t>
      </w:r>
      <w:r>
        <w:rPr>
          <w:rFonts w:hint="eastAsia" w:ascii="仿宋" w:hAnsi="仿宋" w:eastAsia="仿宋" w:cs="仿宋"/>
          <w:b w:val="0"/>
          <w:bCs w:val="0"/>
          <w:color w:val="0000FF"/>
          <w:kern w:val="0"/>
          <w:sz w:val="30"/>
          <w:szCs w:val="30"/>
          <w:u w:val="none"/>
          <w:lang w:val="en-US" w:eastAsia="zh-CN" w:bidi="ar"/>
        </w:rPr>
        <w:t>和新型农林人才培养培训</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共享产学研合作成果，发挥产学研合作示范影响力，提升服务产业能力。发挥科技服务团队作用，到2025年新建自然科学类科技服务团队30个以上，人文社科类智库10个以上；加强校地接对帮扶，主动融入大别山区红色基因库建设项目，发挥学科专业优势，支持大别山精神博物馆建设以及长征国家文化公园（河南段）建设等规划项目，为支持信阳大别山革命老区振兴发展提供人才、技术与智力支持。打通基础研究、应用开发、成果转移与产业化链条，建立健全市场导向、社会资本参与、多要素深度融合的成果应用转化机制，</w:t>
      </w:r>
      <w:r>
        <w:rPr>
          <w:rFonts w:hint="eastAsia" w:ascii="仿宋" w:hAnsi="仿宋" w:eastAsia="仿宋" w:cs="仿宋"/>
          <w:b w:val="0"/>
          <w:bCs w:val="0"/>
          <w:color w:val="FF0000"/>
          <w:kern w:val="0"/>
          <w:sz w:val="30"/>
          <w:szCs w:val="30"/>
          <w:u w:val="none"/>
          <w:lang w:val="en-US" w:eastAsia="zh-CN" w:bidi="ar"/>
        </w:rPr>
        <w:t>促进科技成果转化应用</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94" w:name="_Toc30347"/>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4.聚焦科研水平提升，</w:t>
      </w:r>
      <w:r>
        <w:rPr>
          <w:rFonts w:hint="eastAsia" w:ascii="仿宋" w:hAnsi="仿宋" w:eastAsia="仿宋" w:cs="仿宋"/>
          <w:b/>
          <w:bCs/>
          <w:color w:val="FF0000"/>
          <w:kern w:val="0"/>
          <w:sz w:val="30"/>
          <w:szCs w:val="30"/>
          <w:u w:val="none"/>
          <w:lang w:val="en-US" w:eastAsia="zh-CN" w:bidi="ar"/>
        </w:rPr>
        <w:t>构建</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科技评价</w:t>
      </w:r>
      <w:r>
        <w:rPr>
          <w:rFonts w:hint="eastAsia" w:ascii="仿宋" w:hAnsi="仿宋" w:eastAsia="仿宋" w:cs="仿宋"/>
          <w:b/>
          <w:bCs/>
          <w:color w:val="FF0000"/>
          <w:kern w:val="0"/>
          <w:sz w:val="30"/>
          <w:szCs w:val="30"/>
          <w:u w:val="none"/>
          <w:lang w:val="en-US" w:eastAsia="zh-CN" w:bidi="ar"/>
        </w:rPr>
        <w:t>新体系</w:t>
      </w:r>
      <w:bookmarkEnd w:id="94"/>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color w:val="000000" w:themeColor="text1"/>
          <w:kern w:val="2"/>
          <w:sz w:val="30"/>
          <w:szCs w:val="30"/>
          <w:u w:val="none"/>
          <w:lang w:val="en-US" w:eastAsia="zh-CN" w:bidi="ar-SA"/>
          <w14:textFill>
            <w14:solidFill>
              <w14:schemeClr w14:val="tx1"/>
            </w14:solidFill>
          </w14:textFill>
        </w:rPr>
        <w:t>按照国家关于《深化新时代教育评价改革总体方案》要求，</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深化科技创新、制度创新、协同创新，突出质量导向，重点评价学术贡献、社会贡献以及支撑人才培养情况。根据不同学科、不同岗位特点，建立分类评价体系；根据基础与应用研究、自然科学与人文社会科学等不同学科的成果特点，分类制定评价指标标准和奖励办法，突出科研产出质量和实际科技价值，鼓励产出重大成果，鼓励自主与协同创新、科技创新与社会服务并重；推行代表性成果评价，完善同行专家评议机制，探索团队评价和个人评价相结合的科研评价模式。</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right="0" w:rightChars="0" w:firstLine="301" w:firstLineChars="100"/>
        <w:jc w:val="both"/>
        <w:textAlignment w:val="auto"/>
        <w:outlineLvl w:val="1"/>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95" w:name="_Toc30151"/>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（七）</w:t>
      </w:r>
      <w:r>
        <w:rPr>
          <w:rFonts w:hint="eastAsia" w:ascii="仿宋" w:hAnsi="仿宋" w:eastAsia="仿宋" w:cs="仿宋"/>
          <w:b/>
          <w:bCs/>
          <w:color w:val="FF0000"/>
          <w:kern w:val="0"/>
          <w:sz w:val="30"/>
          <w:szCs w:val="30"/>
          <w:u w:val="none"/>
          <w:lang w:val="en-US" w:eastAsia="zh-CN" w:bidi="ar"/>
        </w:rPr>
        <w:t>以大学文化建设为灵魂，着力营造立德树人浓厚新氛围</w:t>
      </w:r>
      <w:bookmarkEnd w:id="95"/>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96" w:name="_Toc4740"/>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1.加强思想政治教育，打造“三全育人”品牌</w:t>
      </w:r>
      <w:bookmarkEnd w:id="96"/>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0" w:leftChars="0" w:right="0" w:firstLine="602"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bookmarkStart w:id="97" w:name="_Toc13434"/>
      <w:bookmarkStart w:id="98" w:name="_Toc8756"/>
      <w:bookmarkStart w:id="99" w:name="_Toc4844"/>
      <w:bookmarkStart w:id="100" w:name="_Toc4004"/>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切实加强思想政治工作，将其贯穿教育教学全过程，实现全员育人、全程育人、全方位育人。</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牢固树立“以立德树人为根本，以强农兴农为己任”的理念</w:t>
      </w:r>
      <w:r>
        <w:rPr>
          <w:rFonts w:hint="eastAsia" w:ascii="仿宋" w:hAnsi="仿宋" w:eastAsia="仿宋" w:cs="仿宋"/>
          <w:b w:val="0"/>
          <w:bCs w:val="0"/>
          <w:color w:val="000000" w:themeColor="text1"/>
          <w:kern w:val="0"/>
          <w:sz w:val="30"/>
          <w:szCs w:val="30"/>
          <w:highlight w:val="none"/>
          <w:u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引导学生知农情、</w:t>
      </w:r>
      <w:r>
        <w:rPr>
          <w:rFonts w:hint="eastAsia" w:cs="仿宋"/>
          <w:b w:val="0"/>
          <w:bCs w:val="0"/>
          <w:color w:val="auto"/>
          <w:kern w:val="0"/>
          <w:sz w:val="30"/>
          <w:szCs w:val="30"/>
          <w:u w:val="none"/>
          <w:lang w:val="en-US" w:eastAsia="zh-CN" w:bidi="ar"/>
        </w:rPr>
        <w:t>晓农事</w:t>
      </w:r>
      <w:r>
        <w:rPr>
          <w:rFonts w:hint="eastAsia" w:ascii="仿宋" w:hAnsi="仿宋" w:eastAsia="仿宋" w:cs="仿宋"/>
          <w:b w:val="0"/>
          <w:bCs w:val="0"/>
          <w:color w:val="auto"/>
          <w:kern w:val="0"/>
          <w:sz w:val="30"/>
          <w:szCs w:val="30"/>
          <w:u w:val="none"/>
          <w:lang w:val="en-US" w:eastAsia="zh-CN" w:bidi="ar"/>
        </w:rPr>
        <w:t>、</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爱农业，厚植“大国三农”情怀。</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牢牢把握党对意识形态工作的领导权</w:t>
      </w:r>
      <w:r>
        <w:rPr>
          <w:rFonts w:hint="eastAsia" w:cs="仿宋"/>
          <w:b/>
          <w:bCs/>
          <w:color w:val="000000" w:themeColor="text1"/>
          <w:kern w:val="0"/>
          <w:sz w:val="30"/>
          <w:szCs w:val="30"/>
          <w:u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深入贯彻学习习近平总书记系列讲话精神，坚持党管意识形态、党管办学方向、用马克思主义占领学校意识形态阵地，认真落实意识形态工作责任制，使社会主义核心价值观深入人心。</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精心培育思政工作队伍，</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全面提升思想政治工作队伍的能力和水平，推动思想政治工作队伍专业化、职业化建设。</w:t>
      </w:r>
      <w:bookmarkEnd w:id="97"/>
      <w:bookmarkEnd w:id="98"/>
      <w:bookmarkEnd w:id="99"/>
      <w:bookmarkEnd w:id="100"/>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01" w:name="_Toc2356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2.丰富校园文化载体，弘扬优良办学传统</w:t>
      </w:r>
      <w:bookmarkEnd w:id="101"/>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弘扬“艰苦创业、负重奋进、团结拼搏、追求卓越”的学校精神。传承学校的优良传统，深入开展对学校精神的阐释和宣传，增强师生的认同感，为学校健康发展提供不竭动力。坚持以文化人，以文育人，教育引导广大师生学农爱农，担当兴农强农使命。加大校史整理、编纂力度，筹建校史馆，传承、展示学校历史与文化。加强精神文化建设，打造具有学校特色的品牌文化。加强制度文化建设，促进学校依法办学、依法治校。加强环境文化建设，把农耕文化、农业文明与校园文化紧密结合，打造具有信农特色的优秀校园文化。加强行为文化建设，提倡网络文明，形成具有学校特点的校园网络文化，发挥网络在传递正能量中的重要作用，扩大学校社会影响力。</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02" w:name="_Toc30491"/>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3.共享文明创建成果，创建和谐平安校园</w:t>
      </w:r>
      <w:bookmarkEnd w:id="102"/>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进一步巩固扩大省级文明校园创建成果，力争全国文明单位取得突破，提高精神文明建设水平和质量，为学校改革发展提供精神动力和思想保证。以师生为本，大力推进民生工程。着力解决改革发展中出现的矛盾和问题，把改革发展成果体现在拓展教职工成长空间和改善教职工学习生活条件上，体现在提高学生就业率和就业质量上。正确处理改革发展稳定的关系。不断提高学生的归属感、教职工的获得感、校友的荣誉感和社会的认同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2" w:firstLineChars="200"/>
        <w:jc w:val="both"/>
        <w:textAlignment w:val="auto"/>
        <w:outlineLvl w:val="0"/>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03" w:name="_Toc596"/>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（八）以推进管理体制改革为动力，构建现代大学治理能力提升新机制</w:t>
      </w:r>
      <w:bookmarkEnd w:id="103"/>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1"/>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04" w:name="_Toc881"/>
      <w:bookmarkStart w:id="105" w:name="_Toc1954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1.优化内部治理结构</w:t>
      </w:r>
      <w:bookmarkEnd w:id="104"/>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，打造高效运行机制</w:t>
      </w:r>
      <w:bookmarkEnd w:id="10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val="0"/>
          <w:color w:val="0000FF"/>
          <w:kern w:val="0"/>
          <w:sz w:val="30"/>
          <w:szCs w:val="30"/>
          <w:u w:val="none"/>
          <w:lang w:val="en-US" w:eastAsia="zh-CN" w:bidi="ar"/>
        </w:rPr>
        <w:t>推进依法治校，规范内部治理结构、办学行为和权力运行规则，形成以《信阳农林学院章程》为基本规范的制度体系和管理机制。</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坚持和完善党委领导下的校长负责制</w:t>
      </w:r>
      <w:r>
        <w:rPr>
          <w:rFonts w:hint="eastAsia" w:ascii="仿宋" w:hAnsi="仿宋" w:eastAsia="仿宋" w:cs="仿宋"/>
          <w:b w:val="0"/>
          <w:bCs w:val="0"/>
          <w:color w:val="auto"/>
          <w:kern w:val="0"/>
          <w:sz w:val="30"/>
          <w:szCs w:val="30"/>
          <w:u w:val="none"/>
          <w:lang w:val="en-US" w:eastAsia="zh-CN" w:bidi="ar"/>
        </w:rPr>
        <w:t>，坚持“党委领导、校长负责、教授治学、民主管理”。健全校党委会、校长办公会议等议事规则。进一步完善以学术委员会为核心的学术治理体系，尊重学术自由、健全学术规范。充分发挥学校各职能部门联动的工作优势，激发二级学院“中场发动机”的作用，形成高效、协调、顺畅的运行机制。</w:t>
      </w:r>
      <w:r>
        <w:rPr>
          <w:rFonts w:hint="eastAsia" w:ascii="仿宋" w:hAnsi="仿宋" w:eastAsia="仿宋" w:cs="仿宋"/>
          <w:b w:val="0"/>
          <w:bCs w:val="0"/>
          <w:color w:val="0000FF"/>
          <w:kern w:val="0"/>
          <w:sz w:val="30"/>
          <w:szCs w:val="30"/>
          <w:u w:val="none"/>
          <w:lang w:val="en-US" w:eastAsia="zh-CN" w:bidi="ar"/>
        </w:rPr>
        <w:t>进一步发挥“双代会”等制度的作用，保障师生依法、依学校章程有序参与学校管理</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1"/>
        <w:rPr>
          <w:rFonts w:hint="default"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06" w:name="_Toc13568"/>
      <w:bookmarkStart w:id="107" w:name="_Toc26743"/>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2.加强校院两级管理</w:t>
      </w:r>
      <w:bookmarkEnd w:id="106"/>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，激发学院办学活力</w:t>
      </w:r>
      <w:bookmarkEnd w:id="107"/>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b w:val="0"/>
          <w:bCs w:val="0"/>
          <w:color w:val="FF0000"/>
          <w:kern w:val="0"/>
          <w:sz w:val="30"/>
          <w:szCs w:val="30"/>
          <w:u w:val="none"/>
          <w:lang w:val="en-US" w:eastAsia="zh-CN" w:bidi="ar"/>
        </w:rPr>
        <w:t>以完善学院治理结构为重点、提升治理效能为目标，构建良性互动、合力增效的校院治理新格局。</w:t>
      </w:r>
      <w:r>
        <w:rPr>
          <w:rFonts w:hint="eastAsia" w:ascii="仿宋" w:hAnsi="仿宋" w:eastAsia="仿宋" w:cs="仿宋"/>
          <w:b w:val="0"/>
          <w:bCs w:val="0"/>
          <w:color w:val="000000" w:themeColor="text1"/>
          <w:kern w:val="0"/>
          <w:sz w:val="30"/>
          <w:szCs w:val="30"/>
          <w:u w:val="none"/>
          <w:lang w:val="en-US" w:eastAsia="zh-CN" w:bidi="ar"/>
          <w14:textFill>
            <w14:solidFill>
              <w14:schemeClr w14:val="tx1"/>
            </w14:solidFill>
          </w14:textFill>
        </w:rPr>
        <w:t xml:space="preserve">建立学校权责清单，进一步明确学院的责权利，充分下放人事、评聘、考核、二次分配等职权，赋予学院更多的人、财、物权，鼓励学院自主管理、特色办学。进一步健全办学自主权运行机制和监督机制，健全学院党政联席会议制度、学院科学民主决策制度。建立学院教授委员会，实施学院教职工大会和二级教代会制度，强化基层教学组织作用。完善学院分类指导、分类发展和发展评估制度。推进机构设置改革，转变管理职能，明确学校、职能部门和学院的人财物责权利边界；推进校直机关部门改革，建立机关职能部门工作协同机制，推进管理服务工作的规范化、制度化、信息化。深化“放管服”改革，提高职能部门政策落实、资源统筹、咨询服务、监督管理水平及工作执行力。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20" w:lineRule="exact"/>
        <w:ind w:left="0" w:leftChars="0" w:right="0" w:rightChars="0" w:firstLine="602" w:firstLineChars="200"/>
        <w:jc w:val="both"/>
        <w:textAlignment w:val="auto"/>
        <w:outlineLvl w:val="0"/>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08" w:name="_Toc11792"/>
      <w:r>
        <w:rPr>
          <w:rFonts w:hint="eastAsia" w:cs="仿宋"/>
          <w:b/>
          <w:bCs/>
          <w:color w:val="000000" w:themeColor="text1"/>
          <w:kern w:val="0"/>
          <w:sz w:val="30"/>
          <w:szCs w:val="30"/>
          <w:u w:val="none"/>
          <w:lang w:val="en-US" w:eastAsia="zh-CN" w:bidi="ar"/>
          <w14:textFill>
            <w14:solidFill>
              <w14:schemeClr w14:val="tx1"/>
            </w14:solidFill>
          </w14:textFill>
        </w:rPr>
        <w:t>五</w:t>
      </w:r>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、保障与实施</w:t>
      </w:r>
      <w:bookmarkEnd w:id="108"/>
    </w:p>
    <w:p>
      <w:pPr>
        <w:pStyle w:val="3"/>
        <w:keepNext w:val="0"/>
        <w:keepLines w:val="0"/>
        <w:pageBreakBefore w:val="0"/>
        <w:kinsoku/>
        <w:wordWrap/>
        <w:overflowPunct/>
        <w:topLinePunct w:val="0"/>
        <w:autoSpaceDE/>
        <w:autoSpaceDN/>
        <w:bidi w:val="0"/>
        <w:adjustRightInd/>
        <w:snapToGrid/>
        <w:spacing w:before="0" w:beforeLines="0" w:after="0" w:afterLines="0" w:line="520" w:lineRule="exact"/>
        <w:ind w:left="0" w:leftChars="0" w:firstLine="602" w:firstLineChars="200"/>
        <w:textAlignment w:val="auto"/>
        <w:outlineLvl w:val="1"/>
        <w:rPr>
          <w:rFonts w:hint="eastAsia" w:ascii="仿宋" w:hAnsi="仿宋" w:eastAsia="仿宋" w:cs="仿宋"/>
          <w:color w:val="000000" w:themeColor="text1"/>
          <w:sz w:val="30"/>
          <w:szCs w:val="30"/>
          <w:u w:val="none"/>
          <w14:textFill>
            <w14:solidFill>
              <w14:schemeClr w14:val="tx1"/>
            </w14:solidFill>
          </w14:textFill>
        </w:rPr>
      </w:pPr>
      <w:bookmarkStart w:id="109" w:name="_Toc13833"/>
      <w:r>
        <w:rPr>
          <w:rFonts w:hint="eastAsia" w:ascii="仿宋" w:hAnsi="仿宋" w:eastAsia="仿宋" w:cs="仿宋"/>
          <w:color w:val="000000" w:themeColor="text1"/>
          <w:sz w:val="30"/>
          <w:szCs w:val="30"/>
          <w:u w:val="none"/>
          <w14:textFill>
            <w14:solidFill>
              <w14:schemeClr w14:val="tx1"/>
            </w14:solidFill>
          </w14:textFill>
        </w:rPr>
        <w:t>（</w:t>
      </w:r>
      <w:r>
        <w:rPr>
          <w:rFonts w:hint="eastAsia" w:ascii="仿宋" w:hAnsi="仿宋" w:eastAsia="仿宋" w:cs="仿宋"/>
          <w:color w:val="000000" w:themeColor="text1"/>
          <w:sz w:val="30"/>
          <w:szCs w:val="30"/>
          <w:u w:val="none"/>
          <w:lang w:eastAsia="zh-CN"/>
          <w14:textFill>
            <w14:solidFill>
              <w14:schemeClr w14:val="tx1"/>
            </w14:solidFill>
          </w14:textFill>
        </w:rPr>
        <w:t>一</w:t>
      </w:r>
      <w:r>
        <w:rPr>
          <w:rFonts w:hint="eastAsia" w:ascii="仿宋" w:hAnsi="仿宋" w:eastAsia="仿宋" w:cs="仿宋"/>
          <w:color w:val="000000" w:themeColor="text1"/>
          <w:sz w:val="30"/>
          <w:szCs w:val="30"/>
          <w:u w:val="none"/>
          <w14:textFill>
            <w14:solidFill>
              <w14:schemeClr w14:val="tx1"/>
            </w14:solidFill>
          </w14:textFill>
        </w:rPr>
        <w:t>）完善资源配置，强化条件保障</w:t>
      </w:r>
      <w:bookmarkEnd w:id="109"/>
    </w:p>
    <w:p>
      <w:pPr>
        <w:pStyle w:val="7"/>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14:textFill>
            <w14:solidFill>
              <w14:schemeClr w14:val="tx1"/>
            </w14:solidFill>
          </w14:textFill>
        </w:rPr>
      </w:pPr>
      <w:bookmarkStart w:id="110" w:name="_Toc24519"/>
      <w:r>
        <w:rPr>
          <w:rFonts w:hint="eastAsia" w:ascii="仿宋" w:hAnsi="仿宋" w:eastAsia="仿宋" w:cs="仿宋"/>
          <w:b/>
          <w:bCs/>
          <w:color w:val="000000" w:themeColor="text1"/>
          <w:kern w:val="0"/>
          <w:sz w:val="30"/>
          <w:szCs w:val="30"/>
          <w:u w:val="none"/>
          <w:lang w:val="en-US" w:eastAsia="zh-CN"/>
          <w14:textFill>
            <w14:solidFill>
              <w14:schemeClr w14:val="tx1"/>
            </w14:solidFill>
          </w14:textFill>
        </w:rPr>
        <w:t>1.加快教育信息化建设，打造</w:t>
      </w:r>
      <w:r>
        <w:rPr>
          <w:rFonts w:hint="eastAsia" w:cs="仿宋"/>
          <w:b/>
          <w:bCs/>
          <w:color w:val="0000FF"/>
          <w:kern w:val="0"/>
          <w:sz w:val="30"/>
          <w:szCs w:val="30"/>
          <w:u w:val="none"/>
          <w:lang w:val="en-US" w:eastAsia="zh-CN"/>
        </w:rPr>
        <w:t>现代</w:t>
      </w:r>
      <w:r>
        <w:rPr>
          <w:rFonts w:hint="eastAsia" w:ascii="仿宋" w:hAnsi="仿宋" w:eastAsia="仿宋" w:cs="仿宋"/>
          <w:b/>
          <w:bCs/>
          <w:color w:val="000000" w:themeColor="text1"/>
          <w:kern w:val="0"/>
          <w:sz w:val="30"/>
          <w:szCs w:val="30"/>
          <w:u w:val="none"/>
          <w:lang w:val="en-US" w:eastAsia="zh-CN"/>
          <w14:textFill>
            <w14:solidFill>
              <w14:schemeClr w14:val="tx1"/>
            </w14:solidFill>
          </w14:textFill>
        </w:rPr>
        <w:t>智慧校园</w:t>
      </w:r>
      <w:bookmarkEnd w:id="11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0"/>
          <w:szCs w:val="30"/>
          <w:u w:val="none"/>
          <w:lang w:val="en-US" w:eastAsia="zh-CN"/>
          <w14:textFill>
            <w14:solidFill>
              <w14:schemeClr w14:val="tx1"/>
            </w14:solidFill>
          </w14:textFill>
        </w:rPr>
        <w:t>推进现代信息技术与学校发展的深度融合。</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加强信息化基础设施建设。立足“互联网＋教育”“互联网+农业”的信息化思维，以云计算、人工智能、大数据等信息技术为依托，对接区块链、智慧城市、乡村振兴等战略任务安排，推动现代农业与现代教育</w:t>
      </w:r>
      <w:r>
        <w:rPr>
          <w:rFonts w:hint="eastAsia" w:ascii="仿宋" w:hAnsi="仿宋" w:eastAsia="仿宋" w:cs="仿宋"/>
          <w:color w:val="auto"/>
          <w:kern w:val="0"/>
          <w:sz w:val="30"/>
          <w:szCs w:val="30"/>
          <w:u w:val="none"/>
          <w:lang w:val="en-US" w:eastAsia="zh-CN"/>
        </w:rPr>
        <w:t>技术</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有机结合。</w:t>
      </w:r>
      <w:r>
        <w:rPr>
          <w:rFonts w:hint="eastAsia" w:ascii="仿宋" w:hAnsi="仿宋" w:eastAsia="仿宋" w:cs="仿宋"/>
          <w:b w:val="0"/>
          <w:bCs w:val="0"/>
          <w:color w:val="000000" w:themeColor="text1"/>
          <w:kern w:val="0"/>
          <w:sz w:val="30"/>
          <w:szCs w:val="30"/>
          <w:u w:val="none"/>
          <w:lang w:val="en-US" w:eastAsia="zh-CN"/>
          <w14:textFill>
            <w14:solidFill>
              <w14:schemeClr w14:val="tx1"/>
            </w14:solidFill>
          </w14:textFill>
        </w:rPr>
        <w:t>将信息技术深度融入教育教学管理、财务管理、科研管理、人事管理、档案管理、资源保障等业务流程，创新管理服务模式，提高管理科学化、精细化水平</w:t>
      </w:r>
      <w:r>
        <w:rPr>
          <w:rFonts w:hint="eastAsia" w:ascii="仿宋" w:hAnsi="仿宋" w:eastAsia="仿宋" w:cs="仿宋"/>
          <w:b/>
          <w:bCs/>
          <w:color w:val="000000" w:themeColor="text1"/>
          <w:kern w:val="0"/>
          <w:sz w:val="30"/>
          <w:szCs w:val="30"/>
          <w:u w:val="none"/>
          <w:lang w:val="en-US" w:eastAsia="zh-CN"/>
          <w14:textFill>
            <w14:solidFill>
              <w14:schemeClr w14:val="tx1"/>
            </w14:solidFill>
          </w14:textFill>
        </w:rPr>
        <w:t>。</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到 2025 年，基本建成业务融合、流程清晰、学习泛在化、管理智能化的智慧校园。增加图书馆数据库数量，提高数据库使用效益，提升数据库在教育教学以及科学研究中的作用。积极推进馆藏质量高、服务效率高的数字化图书馆建设，着力提高文献资源建设质量，不断提高文献资源利用率。</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教学信息化、办公自动化、管理现代化水平明显提高。</w:t>
      </w:r>
    </w:p>
    <w:p>
      <w:pPr>
        <w:pStyle w:val="7"/>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14:textFill>
            <w14:solidFill>
              <w14:schemeClr w14:val="tx1"/>
            </w14:solidFill>
          </w14:textFill>
        </w:rPr>
      </w:pPr>
      <w:bookmarkStart w:id="111" w:name="_Toc31167"/>
      <w:r>
        <w:rPr>
          <w:rFonts w:hint="eastAsia" w:ascii="仿宋" w:hAnsi="仿宋" w:eastAsia="仿宋" w:cs="仿宋"/>
          <w:b/>
          <w:bCs/>
          <w:color w:val="000000" w:themeColor="text1"/>
          <w:kern w:val="0"/>
          <w:sz w:val="30"/>
          <w:szCs w:val="30"/>
          <w:u w:val="none"/>
          <w:lang w:val="en-US" w:eastAsia="zh-CN"/>
          <w14:textFill>
            <w14:solidFill>
              <w14:schemeClr w14:val="tx1"/>
            </w14:solidFill>
          </w14:textFill>
        </w:rPr>
        <w:t>2.推进校园基础建设，强化办学条件保障</w:t>
      </w:r>
      <w:bookmarkEnd w:id="11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0"/>
          <w:szCs w:val="30"/>
          <w:u w:val="none"/>
          <w:lang w:val="en-US" w:eastAsia="zh-CN"/>
          <w14:textFill>
            <w14:solidFill>
              <w14:schemeClr w14:val="tx1"/>
            </w14:solidFill>
          </w14:textFill>
        </w:rPr>
        <w:t>完成校园一期续建工程和二期校园建设。</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按照</w:t>
      </w:r>
      <w:r>
        <w:rPr>
          <w:rFonts w:hint="eastAsia" w:ascii="仿宋" w:hAnsi="仿宋" w:eastAsia="仿宋" w:cs="仿宋"/>
          <w:b w:val="0"/>
          <w:bCs w:val="0"/>
          <w:color w:val="000000" w:themeColor="text1"/>
          <w:kern w:val="0"/>
          <w:sz w:val="30"/>
          <w:szCs w:val="30"/>
          <w:u w:val="none"/>
          <w:lang w:val="en-US" w:eastAsia="zh-CN"/>
          <w14:textFill>
            <w14:solidFill>
              <w14:schemeClr w14:val="tx1"/>
            </w14:solidFill>
          </w14:textFill>
        </w:rPr>
        <w:t>“以人为本、彰显特色、科学布局、合理组团”</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的理念，进一步调整校园功能分区，加强校园基本建设。布局建设创新创业中心、学术交流中心、科技服务用房、农学实践基地</w:t>
      </w:r>
      <w:r>
        <w:rPr>
          <w:rFonts w:hint="eastAsia" w:ascii="仿宋" w:hAnsi="仿宋" w:eastAsia="仿宋" w:cs="仿宋"/>
          <w:color w:val="0070C0"/>
          <w:kern w:val="0"/>
          <w:sz w:val="30"/>
          <w:szCs w:val="30"/>
          <w:u w:val="none"/>
          <w:lang w:val="en-US" w:eastAsia="zh-CN"/>
        </w:rPr>
        <w:t>、</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体育馆、青年人才公寓等，满足师生教学、科研、生活需求。2021年完成一期续建工程。2022年建成第三教学楼、第三学生食堂、八栋学生公寓、实</w:t>
      </w:r>
      <w:r>
        <w:rPr>
          <w:rFonts w:hint="eastAsia" w:ascii="仿宋_GB2312" w:hAnsi="仿宋_GB2312" w:eastAsia="仿宋_GB2312" w:cs="仿宋_GB2312"/>
          <w:color w:val="000000" w:themeColor="text1"/>
          <w:kern w:val="0"/>
          <w:sz w:val="30"/>
          <w:szCs w:val="30"/>
          <w:u w:val="none"/>
          <w:lang w:val="en-US" w:eastAsia="zh-CN" w:bidi="ar"/>
          <w14:textFill>
            <w14:solidFill>
              <w14:schemeClr w14:val="tx1"/>
            </w14:solidFill>
          </w14:textFill>
        </w:rPr>
        <w:t>验楼组团、标准田径场，总建筑面积12万平方米。2025年前完成建设五栋学生公寓、实训楼、教师行政办公用房、师生活动用房等，总建筑面积23万平方米，到“十四五”末教学行政用房面积达到29.1万平方米。</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完善配套设施建设和校园文化景点建设，整体建成山水园林式现代大学校园、文明和谐校园。</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pPr>
      <w:bookmarkStart w:id="112" w:name="_Toc4523"/>
      <w:r>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t>3.加大开放办学力度，积极拓展办学空间</w:t>
      </w:r>
      <w:bookmarkEnd w:id="112"/>
      <w:r>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 w:hAnsi="仿宋" w:eastAsia="仿宋" w:cs="仿宋"/>
          <w:color w:val="000000" w:themeColor="text1"/>
          <w:kern w:val="0"/>
          <w:sz w:val="30"/>
          <w:szCs w:val="30"/>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u w:val="none"/>
          <w:lang w:val="en-US" w:eastAsia="zh-CN"/>
          <w14:textFill>
            <w14:solidFill>
              <w14:schemeClr w14:val="tx1"/>
            </w14:solidFill>
          </w14:textFill>
        </w:rPr>
        <w:t>加强国内外交流与合作，充分吸纳优质教育资源，构建开放办学格局，提升国际化办学水平。植根信阳、</w:t>
      </w:r>
      <w:r>
        <w:rPr>
          <w:rFonts w:hint="eastAsia" w:ascii="仿宋" w:hAnsi="仿宋" w:eastAsia="仿宋" w:cs="仿宋"/>
          <w:color w:val="0000FF"/>
          <w:kern w:val="0"/>
          <w:sz w:val="30"/>
          <w:szCs w:val="30"/>
          <w:u w:val="none"/>
          <w:lang w:val="en-US" w:eastAsia="zh-CN"/>
        </w:rPr>
        <w:t>服务河南、辐射全国</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，服务地方</w:t>
      </w:r>
      <w:r>
        <w:rPr>
          <w:rFonts w:hint="eastAsia" w:ascii="仿宋" w:hAnsi="仿宋" w:eastAsia="仿宋" w:cs="仿宋"/>
          <w:color w:val="auto"/>
          <w:kern w:val="0"/>
          <w:sz w:val="30"/>
          <w:szCs w:val="30"/>
          <w:u w:val="none"/>
          <w:lang w:val="en-US" w:eastAsia="zh-CN"/>
        </w:rPr>
        <w:t>行业产业和乡村振兴</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，主动融入区域经济社会发展，拓展与政府、学校、科研院所、行业企业合作的广度和深度，为学校发展争取更为广阔的发展空间。</w:t>
      </w:r>
      <w:r>
        <w:rPr>
          <w:rFonts w:hint="eastAsia" w:ascii="仿宋" w:hAnsi="仿宋" w:eastAsia="仿宋" w:cs="仿宋"/>
          <w:color w:val="000000" w:themeColor="text1"/>
          <w:kern w:val="0"/>
          <w:sz w:val="30"/>
          <w:szCs w:val="30"/>
          <w:u w:val="none"/>
          <w:lang w:val="en-US" w:eastAsia="zh-CN" w:bidi="ar"/>
          <w14:textFill>
            <w14:solidFill>
              <w14:schemeClr w14:val="tx1"/>
            </w14:solidFill>
          </w14:textFill>
        </w:rPr>
        <w:t>通过加大科技成果转化、积极开展社会募捐、多方吸引校友和企业捐赠、争取上级和地方政府支持等措施，拓宽资金来源渠道。</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pPr>
      <w:bookmarkStart w:id="113" w:name="_Toc22046"/>
      <w:r>
        <w:rPr>
          <w:rFonts w:hint="eastAsia" w:ascii="仿宋" w:hAnsi="仿宋" w:eastAsia="仿宋" w:cs="仿宋"/>
          <w:b/>
          <w:bCs/>
          <w:color w:val="000000" w:themeColor="text1"/>
          <w:kern w:val="0"/>
          <w:sz w:val="30"/>
          <w:szCs w:val="30"/>
          <w:u w:val="none"/>
          <w:lang w:val="en-US" w:eastAsia="zh-CN" w:bidi="ar"/>
          <w14:textFill>
            <w14:solidFill>
              <w14:schemeClr w14:val="tx1"/>
            </w14:solidFill>
          </w14:textFill>
        </w:rPr>
        <w:t>4.加强财务精细化管理，</w:t>
      </w:r>
      <w:r>
        <w:rPr>
          <w:rFonts w:hint="eastAsia" w:ascii="仿宋" w:hAnsi="仿宋" w:eastAsia="仿宋" w:cs="仿宋"/>
          <w:b/>
          <w:bCs/>
          <w:color w:val="0000FF"/>
          <w:kern w:val="0"/>
          <w:sz w:val="30"/>
          <w:szCs w:val="30"/>
          <w:u w:val="none"/>
          <w:lang w:val="en-US" w:eastAsia="zh-CN" w:bidi="ar"/>
        </w:rPr>
        <w:t>优化办学资源要素</w:t>
      </w:r>
      <w:bookmarkEnd w:id="113"/>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00" w:firstLineChars="200"/>
        <w:jc w:val="both"/>
        <w:textAlignment w:val="auto"/>
        <w:rPr>
          <w:rFonts w:hint="eastAsia" w:ascii="仿宋" w:hAnsi="仿宋" w:eastAsia="仿宋" w:cs="仿宋"/>
          <w:color w:val="000000" w:themeColor="text1"/>
          <w:kern w:val="0"/>
          <w:sz w:val="30"/>
          <w:szCs w:val="30"/>
          <w:u w:val="none"/>
          <w:lang w:val="en-US" w:eastAsia="zh-CN"/>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ar-SA"/>
          <w14:textFill>
            <w14:solidFill>
              <w14:schemeClr w14:val="tx1"/>
            </w14:solidFill>
          </w14:textFill>
        </w:rPr>
        <w:t>作为</w:t>
      </w:r>
      <w:r>
        <w:rPr>
          <w:rFonts w:hint="eastAsia" w:cs="仿宋"/>
          <w:color w:val="000000" w:themeColor="text1"/>
          <w:kern w:val="0"/>
          <w:sz w:val="30"/>
          <w:szCs w:val="30"/>
          <w:u w:val="none"/>
          <w:lang w:val="en-US" w:eastAsia="zh-CN" w:bidi="ar-SA"/>
          <w14:textFill>
            <w14:solidFill>
              <w14:schemeClr w14:val="tx1"/>
            </w14:solidFill>
          </w14:textFill>
        </w:rPr>
        <w:t>地方</w:t>
      </w:r>
      <w:r>
        <w:rPr>
          <w:rFonts w:hint="eastAsia" w:ascii="仿宋" w:hAnsi="仿宋" w:eastAsia="仿宋" w:cs="仿宋"/>
          <w:color w:val="000000" w:themeColor="text1"/>
          <w:kern w:val="0"/>
          <w:sz w:val="30"/>
          <w:szCs w:val="30"/>
          <w:u w:val="none"/>
          <w:lang w:val="en-US" w:eastAsia="zh-CN" w:bidi="ar-SA"/>
          <w14:textFill>
            <w14:solidFill>
              <w14:schemeClr w14:val="tx1"/>
            </w14:solidFill>
          </w14:textFill>
        </w:rPr>
        <w:t>高校，</w:t>
      </w:r>
      <w:r>
        <w:rPr>
          <w:rFonts w:hint="eastAsia" w:cs="仿宋"/>
          <w:color w:val="000000" w:themeColor="text1"/>
          <w:kern w:val="0"/>
          <w:sz w:val="30"/>
          <w:szCs w:val="30"/>
          <w:u w:val="none"/>
          <w:lang w:val="en-US" w:eastAsia="zh-CN" w:bidi="ar-SA"/>
          <w14:textFill>
            <w14:solidFill>
              <w14:schemeClr w14:val="tx1"/>
            </w14:solidFill>
          </w14:textFill>
        </w:rPr>
        <w:t>学校</w:t>
      </w:r>
      <w:r>
        <w:rPr>
          <w:rFonts w:hint="eastAsia" w:ascii="仿宋" w:hAnsi="仿宋" w:eastAsia="仿宋" w:cs="仿宋"/>
          <w:color w:val="000000" w:themeColor="text1"/>
          <w:kern w:val="0"/>
          <w:sz w:val="30"/>
          <w:szCs w:val="30"/>
          <w:u w:val="none"/>
          <w:lang w:val="en-US" w:eastAsia="zh-CN" w:bidi="ar-SA"/>
          <w14:textFill>
            <w14:solidFill>
              <w14:schemeClr w14:val="tx1"/>
            </w14:solidFill>
          </w14:textFill>
        </w:rPr>
        <w:t>要在市委、市政府的正确领导下，积极争取政策和资金方面的支持，促进办学经费投入，改善办学条件。坚持依法理财和统筹兼顾，集中财力重点支持教学科研工作、学科建设、人才队伍建设、实验室建设和校园基本建设；进一步提</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升财务管理水平，规范校内经济行为，加强资金使用环节控制，提高资金使用效益，确保学校资金安全。强化财务监督管理，依法依规全面开展内部审计工作，促进学校经济活动规范高效运行。完善学校资产管理机制，规范资产</w:t>
      </w:r>
      <w:r>
        <w:rPr>
          <w:rFonts w:hint="eastAsia" w:ascii="仿宋" w:hAnsi="仿宋" w:eastAsia="仿宋" w:cs="仿宋"/>
          <w:color w:val="000000" w:themeColor="text1"/>
          <w:kern w:val="0"/>
          <w:sz w:val="30"/>
          <w:szCs w:val="30"/>
          <w:highlight w:val="none"/>
          <w:u w:val="none"/>
          <w:lang w:val="en-US" w:eastAsia="zh-CN"/>
          <w14:textFill>
            <w14:solidFill>
              <w14:schemeClr w14:val="tx1"/>
            </w14:solidFill>
          </w14:textFill>
        </w:rPr>
        <w:t>账物</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管理，科学合理配置校内资源。</w:t>
      </w:r>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02" w:firstLineChars="200"/>
        <w:jc w:val="both"/>
        <w:textAlignment w:val="auto"/>
        <w:outlineLvl w:val="2"/>
        <w:rPr>
          <w:rFonts w:hint="eastAsia" w:ascii="仿宋" w:hAnsi="仿宋" w:eastAsia="仿宋" w:cs="仿宋"/>
          <w:b/>
          <w:bCs/>
          <w:color w:val="000000" w:themeColor="text1"/>
          <w:kern w:val="0"/>
          <w:sz w:val="30"/>
          <w:szCs w:val="30"/>
          <w:u w:val="none"/>
          <w:lang w:val="en-US" w:eastAsia="zh-CN"/>
          <w14:textFill>
            <w14:solidFill>
              <w14:schemeClr w14:val="tx1"/>
            </w14:solidFill>
          </w14:textFill>
        </w:rPr>
      </w:pPr>
      <w:bookmarkStart w:id="114" w:name="_Toc27413"/>
      <w:r>
        <w:rPr>
          <w:rFonts w:hint="eastAsia" w:cs="仿宋"/>
          <w:b/>
          <w:bCs/>
          <w:color w:val="000000" w:themeColor="text1"/>
          <w:kern w:val="0"/>
          <w:sz w:val="30"/>
          <w:szCs w:val="30"/>
          <w:u w:val="none"/>
          <w:lang w:val="en-US" w:eastAsia="zh-CN"/>
          <w14:textFill>
            <w14:solidFill>
              <w14:schemeClr w14:val="tx1"/>
            </w14:solidFill>
          </w14:textFill>
        </w:rPr>
        <w:t>5</w:t>
      </w:r>
      <w:r>
        <w:rPr>
          <w:rFonts w:hint="eastAsia" w:ascii="仿宋" w:hAnsi="仿宋" w:eastAsia="仿宋" w:cs="仿宋"/>
          <w:b/>
          <w:bCs/>
          <w:color w:val="000000" w:themeColor="text1"/>
          <w:kern w:val="0"/>
          <w:sz w:val="30"/>
          <w:szCs w:val="30"/>
          <w:u w:val="none"/>
          <w:lang w:val="en-US" w:eastAsia="zh-CN"/>
          <w14:textFill>
            <w14:solidFill>
              <w14:schemeClr w14:val="tx1"/>
            </w14:solidFill>
          </w14:textFill>
        </w:rPr>
        <w:t>.完善后勤服务保障体系，打造服务育人阵地</w:t>
      </w:r>
      <w:bookmarkEnd w:id="114"/>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00" w:firstLineChars="200"/>
        <w:jc w:val="both"/>
        <w:textAlignment w:val="auto"/>
        <w:rPr>
          <w:rFonts w:hint="eastAsia" w:ascii="仿宋" w:hAnsi="仿宋" w:eastAsia="仿宋" w:cs="仿宋"/>
          <w:color w:val="000000" w:themeColor="text1"/>
          <w:kern w:val="0"/>
          <w:sz w:val="30"/>
          <w:szCs w:val="30"/>
          <w:u w:val="none"/>
          <w:lang w:val="en-US" w:eastAsia="zh-CN"/>
          <w14:textFill>
            <w14:solidFill>
              <w14:schemeClr w14:val="tx1"/>
            </w14:solidFill>
          </w14:textFill>
        </w:rPr>
      </w:pPr>
      <w:r>
        <w:rPr>
          <w:rFonts w:hint="eastAsia" w:ascii="仿宋" w:hAnsi="仿宋" w:eastAsia="仿宋" w:cs="仿宋"/>
          <w:color w:val="000000" w:themeColor="text1"/>
          <w:kern w:val="0"/>
          <w:sz w:val="30"/>
          <w:szCs w:val="30"/>
          <w:u w:val="none"/>
          <w:lang w:val="en-US" w:eastAsia="zh-CN"/>
          <w14:textFill>
            <w14:solidFill>
              <w14:schemeClr w14:val="tx1"/>
            </w14:solidFill>
          </w14:textFill>
        </w:rPr>
        <w:t>稳步构建现代化后勤服务保障体系，建设“满意后勤、高效后勤、和谐后勤”。完善现有设备的保养和使用年限，加大节能减排宣传教育工作，建设节约型校园。对水、电、暖等进行成本核算，探索资源有偿使用。深化后勤管理改革，吸引社会优质资源，参与学校校园维修、绿化、餐饮、卫生等服务，全面提升后勤保障能力和服务</w:t>
      </w:r>
      <w:r>
        <w:rPr>
          <w:rFonts w:hint="eastAsia" w:cs="仿宋"/>
          <w:color w:val="000000" w:themeColor="text1"/>
          <w:kern w:val="0"/>
          <w:sz w:val="30"/>
          <w:szCs w:val="30"/>
          <w:u w:val="none"/>
          <w:lang w:val="en-US" w:eastAsia="zh-CN"/>
          <w14:textFill>
            <w14:solidFill>
              <w14:schemeClr w14:val="tx1"/>
            </w14:solidFill>
          </w14:textFill>
        </w:rPr>
        <w:t>育人</w:t>
      </w:r>
      <w:r>
        <w:rPr>
          <w:rFonts w:hint="eastAsia" w:ascii="仿宋" w:hAnsi="仿宋" w:eastAsia="仿宋" w:cs="仿宋"/>
          <w:color w:val="000000" w:themeColor="text1"/>
          <w:kern w:val="0"/>
          <w:sz w:val="30"/>
          <w:szCs w:val="30"/>
          <w:u w:val="none"/>
          <w:lang w:val="en-US" w:eastAsia="zh-CN"/>
          <w14:textFill>
            <w14:solidFill>
              <w14:schemeClr w14:val="tx1"/>
            </w14:solidFill>
          </w14:textFill>
        </w:rPr>
        <w:t>质量。</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630" w:leftChars="0"/>
        <w:textAlignment w:val="auto"/>
        <w:outlineLvl w:val="1"/>
        <w:rPr>
          <w:rFonts w:hint="eastAsia" w:ascii="仿宋" w:hAnsi="仿宋" w:eastAsia="仿宋" w:cs="仿宋"/>
          <w:color w:val="000000" w:themeColor="text1"/>
          <w:sz w:val="30"/>
          <w:szCs w:val="30"/>
          <w:u w:val="none"/>
          <w14:textFill>
            <w14:solidFill>
              <w14:schemeClr w14:val="tx1"/>
            </w14:solidFill>
          </w14:textFill>
        </w:rPr>
      </w:pPr>
      <w:bookmarkStart w:id="115" w:name="_Toc12397"/>
      <w:r>
        <w:rPr>
          <w:rFonts w:hint="eastAsia" w:ascii="仿宋" w:hAnsi="仿宋" w:eastAsia="仿宋" w:cs="仿宋"/>
          <w:color w:val="000000" w:themeColor="text1"/>
          <w:sz w:val="30"/>
          <w:szCs w:val="30"/>
          <w:u w:val="none"/>
          <w:lang w:eastAsia="zh-CN"/>
          <w14:textFill>
            <w14:solidFill>
              <w14:schemeClr w14:val="tx1"/>
            </w14:solidFill>
          </w14:textFill>
        </w:rPr>
        <w:t>（二）</w:t>
      </w:r>
      <w:r>
        <w:rPr>
          <w:rFonts w:hint="eastAsia" w:ascii="仿宋" w:hAnsi="仿宋" w:eastAsia="仿宋" w:cs="仿宋"/>
          <w:color w:val="000000" w:themeColor="text1"/>
          <w:sz w:val="30"/>
          <w:szCs w:val="30"/>
          <w:u w:val="none"/>
          <w14:textFill>
            <w14:solidFill>
              <w14:schemeClr w14:val="tx1"/>
            </w14:solidFill>
          </w14:textFill>
        </w:rPr>
        <w:t>完善实施体系，强化组织保障</w:t>
      </w:r>
      <w:bookmarkEnd w:id="115"/>
    </w:p>
    <w:p>
      <w:pPr>
        <w:pStyle w:val="16"/>
        <w:keepNext w:val="0"/>
        <w:keepLines w:val="0"/>
        <w:pageBreakBefore w:val="0"/>
        <w:widowControl w:val="0"/>
        <w:numPr>
          <w:ilvl w:val="0"/>
          <w:numId w:val="0"/>
        </w:numPr>
        <w:tabs>
          <w:tab w:val="left" w:pos="1239"/>
        </w:tabs>
        <w:kinsoku/>
        <w:wordWrap/>
        <w:overflowPunct/>
        <w:topLinePunct w:val="0"/>
        <w:autoSpaceDE/>
        <w:autoSpaceDN/>
        <w:bidi w:val="0"/>
        <w:adjustRightInd/>
        <w:snapToGrid/>
        <w:spacing w:before="0" w:line="520" w:lineRule="exact"/>
        <w:ind w:left="0" w:leftChars="0" w:right="0" w:rightChars="0" w:firstLine="602" w:firstLineChars="200"/>
        <w:jc w:val="both"/>
        <w:textAlignment w:val="auto"/>
        <w:outlineLvl w:val="2"/>
        <w:rPr>
          <w:rFonts w:hint="eastAsia" w:ascii="仿宋" w:hAnsi="仿宋" w:eastAsia="仿宋" w:cs="仿宋"/>
          <w:b/>
          <w:color w:val="000000" w:themeColor="text1"/>
          <w:sz w:val="30"/>
          <w:szCs w:val="30"/>
          <w:u w:val="none"/>
          <w:lang w:eastAsia="zh-CN"/>
          <w14:textFill>
            <w14:solidFill>
              <w14:schemeClr w14:val="tx1"/>
            </w14:solidFill>
          </w14:textFill>
        </w:rPr>
      </w:pPr>
      <w:bookmarkStart w:id="116" w:name="_Toc4637"/>
      <w:r>
        <w:rPr>
          <w:rFonts w:hint="eastAsia" w:ascii="仿宋" w:hAnsi="仿宋" w:eastAsia="仿宋" w:cs="仿宋"/>
          <w:b/>
          <w:color w:val="000000" w:themeColor="text1"/>
          <w:sz w:val="30"/>
          <w:szCs w:val="30"/>
          <w:u w:val="none"/>
          <w:lang w:val="en-US" w:eastAsia="zh-CN"/>
          <w14:textFill>
            <w14:solidFill>
              <w14:schemeClr w14:val="tx1"/>
            </w14:solidFill>
          </w14:textFill>
        </w:rPr>
        <w:t>1.</w:t>
      </w:r>
      <w:r>
        <w:rPr>
          <w:rFonts w:hint="eastAsia" w:ascii="仿宋" w:hAnsi="仿宋" w:eastAsia="仿宋" w:cs="仿宋"/>
          <w:b/>
          <w:color w:val="000000" w:themeColor="text1"/>
          <w:sz w:val="30"/>
          <w:szCs w:val="30"/>
          <w:u w:val="none"/>
          <w14:textFill>
            <w14:solidFill>
              <w14:schemeClr w14:val="tx1"/>
            </w14:solidFill>
          </w14:textFill>
        </w:rPr>
        <w:t>建立规划组织体系，</w:t>
      </w:r>
      <w:r>
        <w:rPr>
          <w:rFonts w:hint="eastAsia" w:ascii="仿宋" w:hAnsi="仿宋" w:eastAsia="仿宋" w:cs="仿宋"/>
          <w:b/>
          <w:color w:val="000000" w:themeColor="text1"/>
          <w:sz w:val="30"/>
          <w:szCs w:val="30"/>
          <w:u w:val="none"/>
          <w:lang w:eastAsia="zh-CN"/>
          <w14:textFill>
            <w14:solidFill>
              <w14:schemeClr w14:val="tx1"/>
            </w14:solidFill>
          </w14:textFill>
        </w:rPr>
        <w:t>做好任务分解</w:t>
      </w:r>
      <w:bookmarkEnd w:id="116"/>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00" w:themeColor="text1"/>
          <w:kern w:val="0"/>
          <w:sz w:val="30"/>
          <w:szCs w:val="30"/>
          <w:u w:val="none"/>
          <w:lang w:val="en-US" w:eastAsia="zh-CN" w:bidi="zh-CN"/>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zh-CN"/>
          <w14:textFill>
            <w14:solidFill>
              <w14:schemeClr w14:val="tx1"/>
            </w14:solidFill>
          </w14:textFill>
        </w:rPr>
        <w:t>学校成立规划实施工作领导小组，加强对规划实施工作的组织领导。学校规划工作部门负责本规划的组织协调与实施，各有关部门积极配合，密切协作，形成全校上下齐抓共管、层层负责、合力推动的规划落实机制。要按照学校规划的总体部署，对规划进行任务分解。各部门要根据目标任务，进一步细化实施方案、明确完成时限、完善配套措施。要将规划与制定年度计划紧密结合起来，按照轻重缓急将规划目标和建设任务逐年分解到年度计划中，确保目标任务的落实。</w:t>
      </w:r>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outlineLvl w:val="2"/>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pPr>
      <w:bookmarkStart w:id="117" w:name="_Toc23696"/>
      <w:r>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t>2.健全目标评估考核，加强督导实施</w:t>
      </w:r>
      <w:bookmarkEnd w:id="117"/>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color w:val="000000" w:themeColor="text1"/>
          <w:kern w:val="0"/>
          <w:sz w:val="30"/>
          <w:szCs w:val="30"/>
          <w:u w:val="none"/>
          <w:lang w:val="en-US" w:eastAsia="zh-CN" w:bidi="zh-CN"/>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zh-CN"/>
          <w14:textFill>
            <w14:solidFill>
              <w14:schemeClr w14:val="tx1"/>
            </w14:solidFill>
          </w14:textFill>
        </w:rPr>
        <w:t>建立科学的规划评价系统和反馈机制。定期对规划实施过程、进度和是否达到预定目标进行监测评估和跟踪检查， 对规划实施方向、阶段性目标落实情况进行分析，及时发现问题，纠错纠偏。协调提高各部门、学院目标一致性，促进规划落实。及时将规划实施评估结果纳入规划修订程序，动态合理调整规划目标任务及举措。将规划实施情况纳入部门和学院绩效考核体系。</w:t>
      </w:r>
    </w:p>
    <w:p>
      <w:pPr>
        <w:keepNext w:val="0"/>
        <w:keepLines w:val="0"/>
        <w:pageBreakBefore w:val="0"/>
        <w:kinsoku/>
        <w:wordWrap/>
        <w:overflowPunct/>
        <w:topLinePunct w:val="0"/>
        <w:autoSpaceDE/>
        <w:autoSpaceDN/>
        <w:bidi w:val="0"/>
        <w:adjustRightInd/>
        <w:snapToGrid/>
        <w:spacing w:line="520" w:lineRule="exact"/>
        <w:ind w:left="0" w:leftChars="0" w:firstLine="602" w:firstLineChars="200"/>
        <w:textAlignment w:val="auto"/>
        <w:outlineLvl w:val="2"/>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pPr>
      <w:bookmarkStart w:id="118" w:name="_Toc24732"/>
      <w:r>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t>3.明确规划先导地位，强化</w:t>
      </w:r>
      <w:r>
        <w:rPr>
          <w:rFonts w:hint="eastAsia" w:ascii="仿宋" w:hAnsi="仿宋" w:eastAsia="仿宋" w:cs="仿宋"/>
          <w:b/>
          <w:bCs/>
          <w:color w:val="auto"/>
          <w:kern w:val="0"/>
          <w:sz w:val="30"/>
          <w:szCs w:val="30"/>
          <w:u w:val="none"/>
          <w:lang w:val="en-US" w:eastAsia="zh-CN" w:bidi="zh-CN"/>
        </w:rPr>
        <w:t>资金</w:t>
      </w:r>
      <w:r>
        <w:rPr>
          <w:rFonts w:hint="eastAsia" w:ascii="仿宋" w:hAnsi="仿宋" w:eastAsia="仿宋" w:cs="仿宋"/>
          <w:b/>
          <w:bCs/>
          <w:color w:val="000000" w:themeColor="text1"/>
          <w:kern w:val="0"/>
          <w:sz w:val="30"/>
          <w:szCs w:val="30"/>
          <w:u w:val="none"/>
          <w:lang w:val="en-US" w:eastAsia="zh-CN" w:bidi="zh-CN"/>
          <w14:textFill>
            <w14:solidFill>
              <w14:schemeClr w14:val="tx1"/>
            </w14:solidFill>
          </w14:textFill>
        </w:rPr>
        <w:t>保障</w:t>
      </w:r>
      <w:bookmarkEnd w:id="118"/>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color w:val="000000" w:themeColor="text1"/>
          <w:kern w:val="0"/>
          <w:sz w:val="30"/>
          <w:szCs w:val="30"/>
          <w:u w:val="none"/>
          <w:lang w:val="en-US" w:eastAsia="zh-CN" w:bidi="zh-CN"/>
          <w14:textFill>
            <w14:solidFill>
              <w14:schemeClr w14:val="tx1"/>
            </w14:solidFill>
          </w14:textFill>
        </w:rPr>
      </w:pPr>
      <w:r>
        <w:rPr>
          <w:rFonts w:hint="eastAsia" w:ascii="仿宋" w:hAnsi="仿宋" w:eastAsia="仿宋" w:cs="仿宋"/>
          <w:color w:val="000000" w:themeColor="text1"/>
          <w:kern w:val="0"/>
          <w:sz w:val="30"/>
          <w:szCs w:val="30"/>
          <w:u w:val="none"/>
          <w:lang w:val="en-US" w:eastAsia="zh-CN" w:bidi="zh-CN"/>
          <w14:textFill>
            <w14:solidFill>
              <w14:schemeClr w14:val="tx1"/>
            </w14:solidFill>
          </w14:textFill>
        </w:rPr>
        <w:t>以规划为导向，统筹全校人、财、物等资源，确保目标任务的顺利实施。学校财务预算要为规划实施提供有力的资金保障，明确资金在人才引进、质量工程、学科建设、特色打造等方面的重点投入，专项资金要与学校重点建设项目、重大发展计划相匹配，确保资金利用效率效益和匹配度的最大化。</w:t>
      </w:r>
      <w:bookmarkStart w:id="119" w:name="_Toc21627"/>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cs="仿宋"/>
          <w:b/>
          <w:bCs/>
          <w:color w:val="000000" w:themeColor="text1"/>
          <w:kern w:val="0"/>
          <w:sz w:val="30"/>
          <w:szCs w:val="30"/>
          <w:u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cs="仿宋"/>
          <w:b/>
          <w:bCs/>
          <w:color w:val="000000" w:themeColor="text1"/>
          <w:kern w:val="0"/>
          <w:sz w:val="30"/>
          <w:szCs w:val="30"/>
          <w:u w:val="none"/>
          <w:lang w:val="en-US" w:eastAsia="zh-CN"/>
          <w14:textFill>
            <w14:solidFill>
              <w14:schemeClr w14:val="tx1"/>
            </w14:solidFill>
          </w14:textFill>
        </w:rPr>
      </w:pPr>
      <w:r>
        <w:rPr>
          <w:rFonts w:hint="eastAsia" w:cs="仿宋"/>
          <w:b/>
          <w:bCs/>
          <w:color w:val="000000" w:themeColor="text1"/>
          <w:kern w:val="0"/>
          <w:sz w:val="30"/>
          <w:szCs w:val="30"/>
          <w:u w:val="none"/>
          <w:lang w:val="en-US" w:eastAsia="zh-CN"/>
          <w14:textFill>
            <w14:solidFill>
              <w14:schemeClr w14:val="tx1"/>
            </w14:solidFill>
          </w14:textFill>
        </w:rPr>
        <w:t>附录：信阳农林学院“十四五”主要发展指标对照一览表</w:t>
      </w:r>
      <w:bookmarkEnd w:id="119"/>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仿宋"/>
          <w:b/>
          <w:bCs/>
          <w:color w:val="000000" w:themeColor="text1"/>
          <w:kern w:val="0"/>
          <w:sz w:val="30"/>
          <w:szCs w:val="30"/>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仿宋"/>
          <w:b/>
          <w:bCs/>
          <w:color w:val="000000" w:themeColor="text1"/>
          <w:kern w:val="0"/>
          <w:sz w:val="30"/>
          <w:szCs w:val="30"/>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Times New Roman" w:eastAsia="黑体" w:cs="Times New Roman"/>
          <w:color w:val="000000" w:themeColor="text1"/>
          <w:sz w:val="28"/>
          <w:szCs w:val="28"/>
          <w:u w:val="none"/>
          <w14:textFill>
            <w14:solidFill>
              <w14:schemeClr w14:val="tx1"/>
            </w14:solidFill>
          </w14:textFill>
        </w:rPr>
      </w:pPr>
      <w:r>
        <w:rPr>
          <w:rFonts w:hint="eastAsia" w:cs="仿宋"/>
          <w:b/>
          <w:bCs/>
          <w:color w:val="000000" w:themeColor="text1"/>
          <w:kern w:val="0"/>
          <w:sz w:val="30"/>
          <w:szCs w:val="30"/>
          <w:u w:val="none"/>
          <w:lang w:val="en-US" w:eastAsia="zh-CN"/>
          <w14:textFill>
            <w14:solidFill>
              <w14:schemeClr w14:val="tx1"/>
            </w14:solidFill>
          </w14:textFill>
        </w:rPr>
        <w:t>信阳农林学院“十四五”主要发展指标对照一览表</w:t>
      </w:r>
    </w:p>
    <w:tbl>
      <w:tblPr>
        <w:tblStyle w:val="14"/>
        <w:tblW w:w="9722" w:type="dxa"/>
        <w:jc w:val="center"/>
        <w:tblLayout w:type="fixed"/>
        <w:tblCellMar>
          <w:top w:w="0" w:type="dxa"/>
          <w:left w:w="108" w:type="dxa"/>
          <w:bottom w:w="0" w:type="dxa"/>
          <w:right w:w="108" w:type="dxa"/>
        </w:tblCellMar>
      </w:tblPr>
      <w:tblGrid>
        <w:gridCol w:w="469"/>
        <w:gridCol w:w="2855"/>
        <w:gridCol w:w="325"/>
        <w:gridCol w:w="3435"/>
        <w:gridCol w:w="1070"/>
        <w:gridCol w:w="1568"/>
      </w:tblGrid>
      <w:tr>
        <w:tblPrEx>
          <w:tblCellMar>
            <w:top w:w="0" w:type="dxa"/>
            <w:left w:w="108" w:type="dxa"/>
            <w:bottom w:w="0" w:type="dxa"/>
            <w:right w:w="108" w:type="dxa"/>
          </w:tblCellMar>
        </w:tblPrEx>
        <w:trPr>
          <w:trHeight w:val="409" w:hRule="exact"/>
          <w:jc w:val="center"/>
        </w:trPr>
        <w:tc>
          <w:tcPr>
            <w:tcW w:w="7084" w:type="dxa"/>
            <w:gridSpan w:val="4"/>
            <w:tcBorders>
              <w:top w:val="single" w:color="auto" w:sz="4" w:space="0"/>
              <w:left w:val="single" w:color="333333" w:sz="4" w:space="0"/>
              <w:bottom w:val="single" w:color="333333" w:sz="4" w:space="0"/>
              <w:right w:val="single" w:color="333333" w:sz="4" w:space="0"/>
            </w:tcBorders>
            <w:noWrap w:val="0"/>
            <w:vAlign w:val="center"/>
          </w:tcPr>
          <w:p>
            <w:pPr>
              <w:jc w:val="center"/>
              <w:rPr>
                <w:rFonts w:hint="eastAsia" w:ascii="仿宋_GB2312" w:hAnsi="宋体" w:eastAsia="仿宋_GB2312" w:cs="宋体"/>
                <w:b/>
                <w:bCs/>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kern w:val="0"/>
                <w:sz w:val="21"/>
                <w:szCs w:val="21"/>
                <w:u w:val="none"/>
                <w14:textFill>
                  <w14:solidFill>
                    <w14:schemeClr w14:val="tx1"/>
                  </w14:solidFill>
                </w14:textFill>
              </w:rPr>
              <w:t>指   标   名   称</w:t>
            </w:r>
          </w:p>
        </w:tc>
        <w:tc>
          <w:tcPr>
            <w:tcW w:w="1070" w:type="dxa"/>
            <w:tcBorders>
              <w:top w:val="single" w:color="auto" w:sz="4" w:space="0"/>
              <w:left w:val="nil"/>
              <w:bottom w:val="single" w:color="333333" w:sz="4" w:space="0"/>
              <w:right w:val="single" w:color="auto" w:sz="4" w:space="0"/>
            </w:tcBorders>
            <w:noWrap w:val="0"/>
            <w:vAlign w:val="center"/>
          </w:tcPr>
          <w:p>
            <w:pPr>
              <w:jc w:val="center"/>
              <w:rPr>
                <w:rFonts w:hint="eastAsia" w:ascii="仿宋_GB2312" w:hAnsi="宋体" w:eastAsia="仿宋_GB2312" w:cs="宋体"/>
                <w:b/>
                <w:bCs/>
                <w:color w:val="000000" w:themeColor="text1"/>
                <w:w w:val="80"/>
                <w:kern w:val="0"/>
                <w:sz w:val="21"/>
                <w:szCs w:val="21"/>
                <w:u w:val="none"/>
                <w14:textFill>
                  <w14:solidFill>
                    <w14:schemeClr w14:val="tx1"/>
                  </w14:solidFill>
                </w14:textFill>
              </w:rPr>
            </w:pPr>
            <w:r>
              <w:rPr>
                <w:rFonts w:hint="eastAsia" w:ascii="仿宋_GB2312" w:hAnsi="宋体" w:eastAsia="仿宋_GB2312" w:cs="宋体"/>
                <w:b/>
                <w:bCs/>
                <w:color w:val="000000" w:themeColor="text1"/>
                <w:w w:val="80"/>
                <w:kern w:val="0"/>
                <w:sz w:val="21"/>
                <w:szCs w:val="21"/>
                <w:u w:val="none"/>
                <w:lang w:val="en-US" w:eastAsia="zh-CN"/>
                <w14:textFill>
                  <w14:solidFill>
                    <w14:schemeClr w14:val="tx1"/>
                  </w14:solidFill>
                </w14:textFill>
              </w:rPr>
              <w:t>2020</w:t>
            </w:r>
            <w:r>
              <w:rPr>
                <w:rFonts w:hint="eastAsia" w:ascii="仿宋_GB2312" w:hAnsi="宋体" w:eastAsia="仿宋_GB2312" w:cs="宋体"/>
                <w:b/>
                <w:bCs/>
                <w:color w:val="000000" w:themeColor="text1"/>
                <w:w w:val="80"/>
                <w:kern w:val="0"/>
                <w:sz w:val="21"/>
                <w:szCs w:val="21"/>
                <w:u w:val="none"/>
                <w14:textFill>
                  <w14:solidFill>
                    <w14:schemeClr w14:val="tx1"/>
                  </w14:solidFill>
                </w14:textFill>
              </w:rPr>
              <w:t>年</w:t>
            </w:r>
          </w:p>
        </w:tc>
        <w:tc>
          <w:tcPr>
            <w:tcW w:w="1568" w:type="dxa"/>
            <w:tcBorders>
              <w:top w:val="single" w:color="auto" w:sz="4" w:space="0"/>
              <w:left w:val="single" w:color="auto" w:sz="4" w:space="0"/>
              <w:bottom w:val="single" w:color="333333" w:sz="4" w:space="0"/>
              <w:right w:val="single" w:color="333333" w:sz="4" w:space="0"/>
            </w:tcBorders>
            <w:noWrap w:val="0"/>
            <w:vAlign w:val="center"/>
          </w:tcPr>
          <w:p>
            <w:pPr>
              <w:jc w:val="center"/>
              <w:rPr>
                <w:rFonts w:hint="eastAsia" w:ascii="仿宋_GB2312" w:hAnsi="宋体" w:eastAsia="仿宋_GB2312" w:cs="宋体"/>
                <w:b/>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w w:val="80"/>
                <w:kern w:val="0"/>
                <w:sz w:val="21"/>
                <w:szCs w:val="21"/>
                <w:u w:val="none"/>
                <w:lang w:val="en-US" w:eastAsia="zh-CN"/>
                <w14:textFill>
                  <w14:solidFill>
                    <w14:schemeClr w14:val="tx1"/>
                  </w14:solidFill>
                </w14:textFill>
              </w:rPr>
              <w:t>2025</w:t>
            </w:r>
            <w:r>
              <w:rPr>
                <w:rFonts w:hint="eastAsia" w:ascii="仿宋_GB2312" w:hAnsi="宋体" w:eastAsia="仿宋_GB2312" w:cs="宋体"/>
                <w:b/>
                <w:bCs/>
                <w:color w:val="000000" w:themeColor="text1"/>
                <w:w w:val="80"/>
                <w:kern w:val="0"/>
                <w:sz w:val="21"/>
                <w:szCs w:val="21"/>
                <w:u w:val="none"/>
                <w14:textFill>
                  <w14:solidFill>
                    <w14:schemeClr w14:val="tx1"/>
                  </w14:solidFill>
                </w14:textFill>
              </w:rPr>
              <w:t>年</w:t>
            </w:r>
          </w:p>
        </w:tc>
      </w:tr>
      <w:tr>
        <w:tblPrEx>
          <w:tblCellMar>
            <w:top w:w="0" w:type="dxa"/>
            <w:left w:w="108" w:type="dxa"/>
            <w:bottom w:w="0" w:type="dxa"/>
            <w:right w:w="108" w:type="dxa"/>
          </w:tblCellMar>
        </w:tblPrEx>
        <w:trPr>
          <w:trHeight w:val="284" w:hRule="exact"/>
          <w:jc w:val="center"/>
        </w:trPr>
        <w:tc>
          <w:tcPr>
            <w:tcW w:w="469" w:type="dxa"/>
            <w:vMerge w:val="restart"/>
            <w:tcBorders>
              <w:top w:val="nil"/>
              <w:left w:val="single" w:color="333333" w:sz="4" w:space="0"/>
              <w:bottom w:val="single" w:color="333333" w:sz="4" w:space="0"/>
              <w:right w:val="single" w:color="333333" w:sz="4" w:space="0"/>
            </w:tcBorders>
            <w:noWrap w:val="0"/>
            <w:textDirection w:val="tbRlV"/>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kern w:val="0"/>
                <w:sz w:val="21"/>
                <w:szCs w:val="21"/>
                <w:u w:val="none"/>
                <w14:textFill>
                  <w14:solidFill>
                    <w14:schemeClr w14:val="tx1"/>
                  </w14:solidFill>
                </w14:textFill>
              </w:rPr>
              <w:t>办学规模</w:t>
            </w:r>
          </w:p>
        </w:tc>
        <w:tc>
          <w:tcPr>
            <w:tcW w:w="3180" w:type="dxa"/>
            <w:gridSpan w:val="2"/>
            <w:vMerge w:val="restart"/>
            <w:tcBorders>
              <w:top w:val="nil"/>
              <w:left w:val="single" w:color="333333" w:sz="4" w:space="0"/>
              <w:bottom w:val="single" w:color="333333" w:sz="4" w:space="0"/>
              <w:right w:val="single" w:color="333333"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全日制在校生（人）</w:t>
            </w:r>
          </w:p>
        </w:tc>
        <w:tc>
          <w:tcPr>
            <w:tcW w:w="3435" w:type="dxa"/>
            <w:tcBorders>
              <w:top w:val="nil"/>
              <w:left w:val="nil"/>
              <w:bottom w:val="single" w:color="333333" w:sz="4" w:space="0"/>
              <w:right w:val="single" w:color="333333" w:sz="4" w:space="0"/>
            </w:tcBorders>
            <w:noWrap w:val="0"/>
            <w:vAlign w:val="center"/>
          </w:tcPr>
          <w:p>
            <w:pPr>
              <w:widowControl/>
              <w:ind w:firstLine="422" w:firstLineChars="200"/>
              <w:rPr>
                <w:rFonts w:hint="eastAsia" w:ascii="仿宋_GB2312" w:hAnsi="宋体" w:eastAsia="仿宋_GB2312" w:cs="宋体"/>
                <w:b/>
                <w:bCs/>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kern w:val="0"/>
                <w:sz w:val="21"/>
                <w:szCs w:val="21"/>
                <w:u w:val="none"/>
                <w14:textFill>
                  <w14:solidFill>
                    <w14:schemeClr w14:val="tx1"/>
                  </w14:solidFill>
                </w14:textFill>
              </w:rPr>
              <w:t>总  计</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17336</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22000人以上</w:t>
            </w:r>
          </w:p>
        </w:tc>
      </w:tr>
      <w:tr>
        <w:tblPrEx>
          <w:tblCellMar>
            <w:top w:w="0" w:type="dxa"/>
            <w:left w:w="108" w:type="dxa"/>
            <w:bottom w:w="0" w:type="dxa"/>
            <w:right w:w="108" w:type="dxa"/>
          </w:tblCellMar>
        </w:tblPrEx>
        <w:trPr>
          <w:trHeight w:val="284" w:hRule="exact"/>
          <w:jc w:val="center"/>
        </w:trPr>
        <w:tc>
          <w:tcPr>
            <w:tcW w:w="469" w:type="dxa"/>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本科</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14189</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18000人以上</w:t>
            </w:r>
          </w:p>
        </w:tc>
      </w:tr>
      <w:tr>
        <w:tblPrEx>
          <w:tblCellMar>
            <w:top w:w="0" w:type="dxa"/>
            <w:left w:w="108" w:type="dxa"/>
            <w:bottom w:w="0" w:type="dxa"/>
            <w:right w:w="108" w:type="dxa"/>
          </w:tblCellMar>
        </w:tblPrEx>
        <w:trPr>
          <w:trHeight w:val="284" w:hRule="exact"/>
          <w:jc w:val="center"/>
        </w:trPr>
        <w:tc>
          <w:tcPr>
            <w:tcW w:w="469" w:type="dxa"/>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专科</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3147</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4000人左右</w:t>
            </w:r>
          </w:p>
        </w:tc>
      </w:tr>
      <w:tr>
        <w:tblPrEx>
          <w:tblCellMar>
            <w:top w:w="0" w:type="dxa"/>
            <w:left w:w="108" w:type="dxa"/>
            <w:bottom w:w="0" w:type="dxa"/>
            <w:right w:w="108" w:type="dxa"/>
          </w:tblCellMar>
        </w:tblPrEx>
        <w:trPr>
          <w:trHeight w:val="349" w:hRule="exact"/>
          <w:jc w:val="center"/>
        </w:trPr>
        <w:tc>
          <w:tcPr>
            <w:tcW w:w="469" w:type="dxa"/>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6615" w:type="dxa"/>
            <w:gridSpan w:val="3"/>
            <w:tcBorders>
              <w:top w:val="single" w:color="auto" w:sz="4" w:space="0"/>
              <w:left w:val="single" w:color="333333" w:sz="4" w:space="0"/>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成人教育学生（人）</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1250</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4000人以上</w:t>
            </w:r>
          </w:p>
        </w:tc>
      </w:tr>
      <w:tr>
        <w:tblPrEx>
          <w:tblCellMar>
            <w:top w:w="0" w:type="dxa"/>
            <w:left w:w="108" w:type="dxa"/>
            <w:bottom w:w="0" w:type="dxa"/>
            <w:right w:w="108" w:type="dxa"/>
          </w:tblCellMar>
        </w:tblPrEx>
        <w:trPr>
          <w:trHeight w:val="284" w:hRule="exact"/>
          <w:jc w:val="center"/>
        </w:trPr>
        <w:tc>
          <w:tcPr>
            <w:tcW w:w="469" w:type="dxa"/>
            <w:vMerge w:val="restart"/>
            <w:tcBorders>
              <w:top w:val="nil"/>
              <w:left w:val="single" w:color="333333" w:sz="4" w:space="0"/>
              <w:right w:val="single" w:color="333333" w:sz="4" w:space="0"/>
            </w:tcBorders>
            <w:noWrap w:val="0"/>
            <w:textDirection w:val="tbRlV"/>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kern w:val="0"/>
                <w:sz w:val="21"/>
                <w:szCs w:val="21"/>
                <w:u w:val="none"/>
                <w14:textFill>
                  <w14:solidFill>
                    <w14:schemeClr w14:val="tx1"/>
                  </w14:solidFill>
                </w14:textFill>
              </w:rPr>
              <w:t>教师队伍</w:t>
            </w:r>
          </w:p>
        </w:tc>
        <w:tc>
          <w:tcPr>
            <w:tcW w:w="3180" w:type="dxa"/>
            <w:gridSpan w:val="2"/>
            <w:vMerge w:val="restart"/>
            <w:tcBorders>
              <w:top w:val="nil"/>
              <w:left w:val="single" w:color="333333" w:sz="4" w:space="0"/>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教职工（人）</w:t>
            </w:r>
          </w:p>
        </w:tc>
        <w:tc>
          <w:tcPr>
            <w:tcW w:w="3435" w:type="dxa"/>
            <w:tcBorders>
              <w:top w:val="nil"/>
              <w:left w:val="nil"/>
              <w:bottom w:val="single" w:color="333333" w:sz="4" w:space="0"/>
              <w:right w:val="single" w:color="333333" w:sz="4" w:space="0"/>
            </w:tcBorders>
            <w:noWrap w:val="0"/>
            <w:vAlign w:val="center"/>
          </w:tcPr>
          <w:p>
            <w:pPr>
              <w:widowControl/>
              <w:ind w:firstLine="422" w:firstLineChars="200"/>
              <w:rPr>
                <w:rFonts w:hint="eastAsia" w:ascii="仿宋_GB2312" w:hAnsi="宋体" w:eastAsia="仿宋_GB2312" w:cs="宋体"/>
                <w:b/>
                <w:bCs/>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kern w:val="0"/>
                <w:sz w:val="21"/>
                <w:szCs w:val="21"/>
                <w:u w:val="none"/>
                <w14:textFill>
                  <w14:solidFill>
                    <w14:schemeClr w14:val="tx1"/>
                  </w14:solidFill>
                </w14:textFill>
              </w:rPr>
              <w:t>总  计</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1001</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1400</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专任教师</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733</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1200人以上</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top w:val="nil"/>
              <w:left w:val="single" w:color="333333" w:sz="4" w:space="0"/>
              <w:bottom w:val="single" w:color="333333" w:sz="4" w:space="0"/>
              <w:right w:val="single" w:color="333333"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高职称教师（人）</w:t>
            </w: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教授</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30</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80</w:t>
            </w:r>
          </w:p>
        </w:tc>
      </w:tr>
      <w:tr>
        <w:tblPrEx>
          <w:tblCellMar>
            <w:top w:w="0" w:type="dxa"/>
            <w:left w:w="108" w:type="dxa"/>
            <w:bottom w:w="0" w:type="dxa"/>
            <w:right w:w="108" w:type="dxa"/>
          </w:tblCellMar>
        </w:tblPrEx>
        <w:trPr>
          <w:trHeight w:val="419"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副教授</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171</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330</w:t>
            </w:r>
          </w:p>
        </w:tc>
      </w:tr>
      <w:tr>
        <w:tblPrEx>
          <w:tblCellMar>
            <w:top w:w="0" w:type="dxa"/>
            <w:left w:w="108" w:type="dxa"/>
            <w:bottom w:w="0" w:type="dxa"/>
            <w:right w:w="108" w:type="dxa"/>
          </w:tblCellMar>
        </w:tblPrEx>
        <w:trPr>
          <w:trHeight w:val="329"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top w:val="nil"/>
              <w:left w:val="single" w:color="333333" w:sz="4" w:space="0"/>
              <w:bottom w:val="single" w:color="333333" w:sz="4" w:space="0"/>
              <w:right w:val="single" w:color="333333"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高学历教师</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（人）</w:t>
            </w: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博士</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64</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200人左右</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top w:val="nil"/>
              <w:left w:val="single" w:color="333333" w:sz="4" w:space="0"/>
              <w:bottom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硕士</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587</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1000人左右</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6615" w:type="dxa"/>
            <w:gridSpan w:val="3"/>
            <w:tcBorders>
              <w:top w:val="nil"/>
              <w:left w:val="single" w:color="333333" w:sz="4" w:space="0"/>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生师比（</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w:t>
            </w:r>
          </w:p>
        </w:tc>
        <w:tc>
          <w:tcPr>
            <w:tcW w:w="1070"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19.6：1</w:t>
            </w:r>
          </w:p>
        </w:tc>
        <w:tc>
          <w:tcPr>
            <w:tcW w:w="1568"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 xml:space="preserve">18：1 </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top w:val="nil"/>
              <w:left w:val="single" w:color="333333" w:sz="4" w:space="0"/>
              <w:right w:val="single" w:color="333333"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高水平人才（人）</w:t>
            </w: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国家级教学名师</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省级教学名师</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省级学术技术带头人</w:t>
            </w:r>
          </w:p>
        </w:tc>
        <w:tc>
          <w:tcPr>
            <w:tcW w:w="1070"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299"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nil"/>
              <w:left w:val="nil"/>
              <w:bottom w:val="single" w:color="333333"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省级青年骨干教师</w:t>
            </w:r>
          </w:p>
        </w:tc>
        <w:tc>
          <w:tcPr>
            <w:tcW w:w="1070"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11</w:t>
            </w:r>
          </w:p>
        </w:tc>
        <w:tc>
          <w:tcPr>
            <w:tcW w:w="1568" w:type="dxa"/>
            <w:tcBorders>
              <w:top w:val="nil"/>
              <w:left w:val="nil"/>
              <w:bottom w:val="single" w:color="333333"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31</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nil"/>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双师双能型教师</w:t>
            </w:r>
          </w:p>
        </w:tc>
        <w:tc>
          <w:tcPr>
            <w:tcW w:w="1070"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183</w:t>
            </w:r>
          </w:p>
        </w:tc>
        <w:tc>
          <w:tcPr>
            <w:tcW w:w="1568"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FF0000"/>
                <w:kern w:val="0"/>
                <w:sz w:val="21"/>
                <w:szCs w:val="21"/>
                <w:u w:val="none"/>
                <w:lang w:val="en-US" w:eastAsia="zh-CN"/>
              </w:rPr>
            </w:pPr>
            <w:r>
              <w:rPr>
                <w:rFonts w:hint="eastAsia" w:ascii="仿宋_GB2312" w:hAnsi="宋体" w:eastAsia="仿宋_GB2312" w:cs="宋体"/>
                <w:color w:val="FF0000"/>
                <w:kern w:val="0"/>
                <w:sz w:val="21"/>
                <w:szCs w:val="21"/>
                <w:u w:val="none"/>
                <w:lang w:val="en-US" w:eastAsia="zh-CN"/>
              </w:rPr>
              <w:t>720</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nil"/>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省级优秀教学团队</w:t>
            </w:r>
          </w:p>
        </w:tc>
        <w:tc>
          <w:tcPr>
            <w:tcW w:w="1070" w:type="dxa"/>
            <w:tcBorders>
              <w:top w:val="single" w:color="auto" w:sz="4" w:space="0"/>
              <w:left w:val="nil"/>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w:t>
            </w:r>
          </w:p>
        </w:tc>
        <w:tc>
          <w:tcPr>
            <w:tcW w:w="1568"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nil"/>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国家级、省部级科技创新团队</w:t>
            </w:r>
          </w:p>
        </w:tc>
        <w:tc>
          <w:tcPr>
            <w:tcW w:w="1070"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5-10</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nil"/>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省级优秀基层教学组织</w:t>
            </w:r>
          </w:p>
        </w:tc>
        <w:tc>
          <w:tcPr>
            <w:tcW w:w="1070"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w:t>
            </w:r>
          </w:p>
        </w:tc>
        <w:tc>
          <w:tcPr>
            <w:tcW w:w="1568"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284" w:hRule="exact"/>
          <w:jc w:val="center"/>
        </w:trPr>
        <w:tc>
          <w:tcPr>
            <w:tcW w:w="469" w:type="dxa"/>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left w:val="single" w:color="333333" w:sz="4" w:space="0"/>
              <w:right w:val="single" w:color="333333"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nil"/>
              <w:bottom w:val="single" w:color="auto" w:sz="4" w:space="0"/>
              <w:right w:val="single" w:color="333333"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硕士研究生导师数量</w:t>
            </w:r>
          </w:p>
        </w:tc>
        <w:tc>
          <w:tcPr>
            <w:tcW w:w="1070"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7</w:t>
            </w:r>
          </w:p>
        </w:tc>
        <w:tc>
          <w:tcPr>
            <w:tcW w:w="1568" w:type="dxa"/>
            <w:tcBorders>
              <w:top w:val="single" w:color="auto" w:sz="4" w:space="0"/>
              <w:left w:val="nil"/>
              <w:bottom w:val="single" w:color="auto" w:sz="4" w:space="0"/>
              <w:right w:val="single" w:color="333333"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94" w:hRule="exact"/>
          <w:jc w:val="center"/>
        </w:trPr>
        <w:tc>
          <w:tcPr>
            <w:tcW w:w="469" w:type="dxa"/>
            <w:vMerge w:val="restart"/>
            <w:noWrap w:val="0"/>
            <w:textDirection w:val="tbRlV"/>
            <w:vAlign w:val="center"/>
          </w:tcPr>
          <w:p>
            <w:pPr>
              <w:widowControl/>
              <w:jc w:val="center"/>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学科专业</w:t>
            </w:r>
          </w:p>
        </w:tc>
        <w:tc>
          <w:tcPr>
            <w:tcW w:w="3180" w:type="dxa"/>
            <w:gridSpan w:val="2"/>
            <w:vMerge w:val="restart"/>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专业建设（个）</w:t>
            </w:r>
          </w:p>
        </w:tc>
        <w:tc>
          <w:tcPr>
            <w:tcW w:w="3435"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本科专业</w:t>
            </w:r>
          </w:p>
        </w:tc>
        <w:tc>
          <w:tcPr>
            <w:tcW w:w="1070"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37</w:t>
            </w:r>
          </w:p>
        </w:tc>
        <w:tc>
          <w:tcPr>
            <w:tcW w:w="1568"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50个左右</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84"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专科专业</w:t>
            </w:r>
          </w:p>
        </w:tc>
        <w:tc>
          <w:tcPr>
            <w:tcW w:w="1070"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24</w:t>
            </w:r>
          </w:p>
        </w:tc>
        <w:tc>
          <w:tcPr>
            <w:tcW w:w="1568"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74"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河南省重点学科培育学科</w:t>
            </w:r>
          </w:p>
        </w:tc>
        <w:tc>
          <w:tcPr>
            <w:tcW w:w="1070"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84"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省级一流本科</w:t>
            </w:r>
            <w:r>
              <w:rPr>
                <w:rFonts w:hint="eastAsia" w:ascii="仿宋_GB2312" w:hAnsi="宋体" w:eastAsia="仿宋_GB2312" w:cs="宋体"/>
                <w:color w:val="000000" w:themeColor="text1"/>
                <w:kern w:val="0"/>
                <w:sz w:val="21"/>
                <w:szCs w:val="21"/>
                <w:highlight w:val="none"/>
                <w:u w:val="none"/>
                <w:lang w:val="en-US" w:eastAsia="zh-CN"/>
                <w14:textFill>
                  <w14:solidFill>
                    <w14:schemeClr w14:val="tx1"/>
                  </w14:solidFill>
                </w14:textFill>
              </w:rPr>
              <w:t>专业</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建设点</w:t>
            </w:r>
          </w:p>
        </w:tc>
        <w:tc>
          <w:tcPr>
            <w:tcW w:w="1070"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4</w:t>
            </w:r>
          </w:p>
        </w:tc>
        <w:tc>
          <w:tcPr>
            <w:tcW w:w="1568"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84"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国家级一流本科专业建设点</w:t>
            </w:r>
          </w:p>
        </w:tc>
        <w:tc>
          <w:tcPr>
            <w:tcW w:w="1070" w:type="dxa"/>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0</w:t>
            </w:r>
          </w:p>
        </w:tc>
        <w:tc>
          <w:tcPr>
            <w:tcW w:w="1568"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力争取得突破</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59"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学位点建设（个）</w:t>
            </w:r>
          </w:p>
        </w:tc>
        <w:tc>
          <w:tcPr>
            <w:tcW w:w="3435"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硕士学位点建设专业</w:t>
            </w:r>
          </w:p>
        </w:tc>
        <w:tc>
          <w:tcPr>
            <w:tcW w:w="1070"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0</w:t>
            </w:r>
          </w:p>
        </w:tc>
        <w:tc>
          <w:tcPr>
            <w:tcW w:w="1568" w:type="dxa"/>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力争取得突破</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467"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省级农林虚拟仿真实验教学项目（项）</w:t>
            </w:r>
          </w:p>
        </w:tc>
        <w:tc>
          <w:tcPr>
            <w:tcW w:w="3435" w:type="dxa"/>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省级</w:t>
            </w:r>
          </w:p>
        </w:tc>
        <w:tc>
          <w:tcPr>
            <w:tcW w:w="1070"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84"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农林线上线下精品课程（个）</w:t>
            </w:r>
          </w:p>
        </w:tc>
        <w:tc>
          <w:tcPr>
            <w:tcW w:w="3435"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国家级</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0</w:t>
            </w:r>
          </w:p>
        </w:tc>
        <w:tc>
          <w:tcPr>
            <w:tcW w:w="1568"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力争取得突破</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84"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4</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5-8</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49"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实验教学示范中心（个）</w:t>
            </w:r>
          </w:p>
        </w:tc>
        <w:tc>
          <w:tcPr>
            <w:tcW w:w="3435" w:type="dxa"/>
            <w:tcBorders>
              <w:top w:val="single" w:color="auto" w:sz="4" w:space="0"/>
              <w:bottom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国家级</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0</w:t>
            </w:r>
          </w:p>
        </w:tc>
        <w:tc>
          <w:tcPr>
            <w:tcW w:w="1568"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力争取得突破</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55"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p>
        </w:tc>
        <w:tc>
          <w:tcPr>
            <w:tcW w:w="3435" w:type="dxa"/>
            <w:tcBorders>
              <w:left w:val="single" w:color="auto" w:sz="4" w:space="0"/>
              <w:bottom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w:t>
            </w:r>
          </w:p>
        </w:tc>
        <w:tc>
          <w:tcPr>
            <w:tcW w:w="1070" w:type="dxa"/>
            <w:tcBorders>
              <w:top w:val="single" w:color="auto" w:sz="4" w:space="0"/>
              <w:bottom w:val="single" w:color="auto" w:sz="4" w:space="0"/>
            </w:tcBorders>
            <w:noWrap w:val="0"/>
            <w:vAlign w:val="center"/>
          </w:tcPr>
          <w:p>
            <w:pP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2-3</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635" w:hRule="exac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6615" w:type="dxa"/>
            <w:gridSpan w:val="3"/>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校外实习实训基地（个）（按专业统计）</w:t>
            </w:r>
          </w:p>
        </w:tc>
        <w:tc>
          <w:tcPr>
            <w:tcW w:w="1070" w:type="dxa"/>
            <w:tcBorders>
              <w:top w:val="single" w:color="auto" w:sz="4" w:space="0"/>
              <w:bottom w:val="single" w:color="auto" w:sz="4" w:space="0"/>
            </w:tcBorders>
            <w:noWrap w:val="0"/>
            <w:vAlign w:val="center"/>
          </w:tcPr>
          <w:p>
            <w:pPr>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200余个</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每个专业新增</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3-5个</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54" w:hRule="atLeast"/>
          <w:jc w:val="center"/>
        </w:trPr>
        <w:tc>
          <w:tcPr>
            <w:tcW w:w="469" w:type="dxa"/>
            <w:vMerge w:val="continue"/>
            <w:noWrap w:val="0"/>
            <w:vAlign w:val="center"/>
          </w:tcPr>
          <w:p>
            <w:pPr>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tcBorders>
              <w:top w:val="single" w:color="auto" w:sz="4" w:space="0"/>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就业率（%）</w:t>
            </w:r>
          </w:p>
        </w:tc>
        <w:tc>
          <w:tcPr>
            <w:tcW w:w="3435" w:type="dxa"/>
            <w:tcBorders>
              <w:top w:val="single" w:color="auto" w:sz="4" w:space="0"/>
              <w:left w:val="single" w:color="auto" w:sz="4" w:space="0"/>
            </w:tcBorders>
            <w:noWrap w:val="0"/>
            <w:vAlign w:val="center"/>
          </w:tcPr>
          <w:p>
            <w:pPr>
              <w:widowControl/>
              <w:rPr>
                <w:rFonts w:hint="eastAsia" w:ascii="仿宋_GB2312" w:hAnsi="宋体" w:eastAsia="仿宋_GB2312" w:cs="宋体"/>
                <w:color w:val="000000" w:themeColor="text1"/>
                <w:w w:val="90"/>
                <w:kern w:val="0"/>
                <w:sz w:val="21"/>
                <w:szCs w:val="21"/>
                <w:u w:val="none"/>
                <w14:textFill>
                  <w14:solidFill>
                    <w14:schemeClr w14:val="tx1"/>
                  </w14:solidFill>
                </w14:textFill>
              </w:rPr>
            </w:pPr>
            <w:r>
              <w:rPr>
                <w:rFonts w:hint="eastAsia" w:ascii="仿宋_GB2312" w:hAnsi="宋体" w:eastAsia="仿宋_GB2312" w:cs="宋体"/>
                <w:color w:val="000000" w:themeColor="text1"/>
                <w:w w:val="90"/>
                <w:kern w:val="0"/>
                <w:sz w:val="21"/>
                <w:szCs w:val="21"/>
                <w:u w:val="none"/>
                <w14:textFill>
                  <w14:solidFill>
                    <w14:schemeClr w14:val="tx1"/>
                  </w14:solidFill>
                </w14:textFill>
              </w:rPr>
              <w:t>就业率</w:t>
            </w:r>
          </w:p>
        </w:tc>
        <w:tc>
          <w:tcPr>
            <w:tcW w:w="1070" w:type="dxa"/>
            <w:tcBorders>
              <w:top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93</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95</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6615" w:type="dxa"/>
            <w:gridSpan w:val="3"/>
            <w:noWrap w:val="0"/>
            <w:vAlign w:val="center"/>
          </w:tcPr>
          <w:p>
            <w:pPr>
              <w:widowControl/>
              <w:rPr>
                <w:rFonts w:hint="default" w:ascii="仿宋_GB2312" w:hAnsi="宋体" w:eastAsia="仿宋_GB2312" w:cs="宋体"/>
                <w:color w:val="000000" w:themeColor="text1"/>
                <w:w w:val="90"/>
                <w:kern w:val="0"/>
                <w:sz w:val="21"/>
                <w:szCs w:val="21"/>
                <w:u w:val="none"/>
                <w:lang w:val="en-US"/>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省级教改项目（项）</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 xml:space="preserve">       </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14</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cs="宋体"/>
                <w:color w:val="000000" w:themeColor="text1"/>
                <w:kern w:val="0"/>
                <w:sz w:val="20"/>
                <w:szCs w:val="20"/>
                <w:u w:val="none"/>
                <w:lang w:val="en-US" w:eastAsia="zh-CN" w:bidi="ar"/>
                <w14:textFill>
                  <w14:solidFill>
                    <w14:schemeClr w14:val="tx1"/>
                  </w14:solidFill>
                </w14:textFill>
              </w:rPr>
              <w:t>30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6615" w:type="dxa"/>
            <w:gridSpan w:val="3"/>
            <w:noWrap w:val="0"/>
            <w:vAlign w:val="center"/>
          </w:tcPr>
          <w:p>
            <w:pPr>
              <w:widowControl/>
              <w:rPr>
                <w:rFonts w:hint="eastAsia" w:ascii="仿宋_GB2312" w:hAnsi="宋体" w:eastAsia="仿宋_GB2312" w:cs="宋体"/>
                <w:color w:val="000000" w:themeColor="text1"/>
                <w:w w:val="90"/>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省级教学成果（项）</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6</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cs="宋体"/>
                <w:color w:val="000000" w:themeColor="text1"/>
                <w:kern w:val="0"/>
                <w:sz w:val="20"/>
                <w:szCs w:val="20"/>
                <w:u w:val="none"/>
                <w:lang w:val="en-US" w:eastAsia="zh-CN" w:bidi="ar"/>
                <w14:textFill>
                  <w14:solidFill>
                    <w14:schemeClr w14:val="tx1"/>
                  </w14:solidFill>
                </w14:textFill>
              </w:rPr>
              <w:t>16</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restart"/>
            <w:noWrap w:val="0"/>
            <w:vAlign w:val="center"/>
          </w:tcPr>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科</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研</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平</w:t>
            </w:r>
          </w:p>
          <w:p>
            <w:pPr>
              <w:widowControl/>
              <w:jc w:val="center"/>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台</w:t>
            </w:r>
          </w:p>
        </w:tc>
        <w:tc>
          <w:tcPr>
            <w:tcW w:w="3180" w:type="dxa"/>
            <w:gridSpan w:val="2"/>
            <w:vMerge w:val="restart"/>
            <w:tcBorders>
              <w:right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科研项目（项）</w:t>
            </w:r>
          </w:p>
        </w:tc>
        <w:tc>
          <w:tcPr>
            <w:tcW w:w="3435" w:type="dxa"/>
            <w:tcBorders>
              <w:top w:val="single" w:color="auto" w:sz="4" w:space="0"/>
              <w:left w:val="single" w:color="auto" w:sz="4" w:space="0"/>
              <w:bottom w:val="single" w:color="auto" w:sz="4" w:space="0"/>
            </w:tcBorders>
            <w:noWrap w:val="0"/>
            <w:vAlign w:val="center"/>
          </w:tcPr>
          <w:p>
            <w:pPr>
              <w:widowControl/>
              <w:jc w:val="lef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国家基金项目</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3</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1-2</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p>
        </w:tc>
        <w:tc>
          <w:tcPr>
            <w:tcW w:w="3180" w:type="dxa"/>
            <w:gridSpan w:val="2"/>
            <w:vMerge w:val="continue"/>
            <w:tcBorders>
              <w:right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single" w:color="auto" w:sz="4" w:space="0"/>
              <w:bottom w:val="single" w:color="auto" w:sz="4" w:space="0"/>
            </w:tcBorders>
            <w:noWrap w:val="0"/>
            <w:vAlign w:val="center"/>
          </w:tcPr>
          <w:p>
            <w:pPr>
              <w:widowControl/>
              <w:jc w:val="left"/>
              <w:rPr>
                <w:rFonts w:hint="eastAsia" w:ascii="仿宋_GB2312" w:hAnsi="宋体" w:eastAsia="仿宋_GB2312" w:cs="宋体"/>
                <w:color w:val="000000" w:themeColor="text1"/>
                <w:w w:val="90"/>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国家级</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项目</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0</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宋体" w:hAnsi="宋体" w:cs="宋体"/>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right w:val="single" w:color="auto"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single" w:color="auto" w:sz="4" w:space="0"/>
              <w:bottom w:val="single" w:color="auto" w:sz="4" w:space="0"/>
            </w:tcBorders>
            <w:noWrap w:val="0"/>
            <w:vAlign w:val="center"/>
          </w:tcPr>
          <w:p>
            <w:pPr>
              <w:widowControl/>
              <w:jc w:val="left"/>
              <w:rPr>
                <w:rFonts w:hint="eastAsia" w:ascii="仿宋_GB2312" w:hAnsi="宋体" w:eastAsia="仿宋_GB2312" w:cs="宋体"/>
                <w:color w:val="000000" w:themeColor="text1"/>
                <w:w w:val="90"/>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省</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（部）</w:t>
            </w:r>
            <w:r>
              <w:rPr>
                <w:rFonts w:hint="eastAsia" w:ascii="仿宋_GB2312" w:hAnsi="宋体" w:eastAsia="仿宋_GB2312" w:cs="宋体"/>
                <w:color w:val="000000" w:themeColor="text1"/>
                <w:kern w:val="0"/>
                <w:sz w:val="21"/>
                <w:szCs w:val="21"/>
                <w:u w:val="none"/>
                <w14:textFill>
                  <w14:solidFill>
                    <w14:schemeClr w14:val="tx1"/>
                  </w14:solidFill>
                </w14:textFill>
              </w:rPr>
              <w:t>级</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项目</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108</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100项左右</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554"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tcBorders>
              <w:right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w w:val="90"/>
                <w:kern w:val="0"/>
                <w:sz w:val="21"/>
                <w:szCs w:val="21"/>
                <w:u w:val="none"/>
                <w14:textFill>
                  <w14:solidFill>
                    <w14:schemeClr w14:val="tx1"/>
                  </w14:solidFill>
                </w14:textFill>
              </w:rPr>
              <w:t>科研成果奖（项）</w:t>
            </w:r>
          </w:p>
        </w:tc>
        <w:tc>
          <w:tcPr>
            <w:tcW w:w="3435" w:type="dxa"/>
            <w:tcBorders>
              <w:top w:val="single" w:color="auto" w:sz="4" w:space="0"/>
              <w:left w:val="single" w:color="auto" w:sz="4" w:space="0"/>
              <w:bottom w:val="single" w:color="auto" w:sz="4" w:space="0"/>
            </w:tcBorders>
            <w:noWrap w:val="0"/>
            <w:vAlign w:val="center"/>
          </w:tcPr>
          <w:p>
            <w:pPr>
              <w:widowControl/>
              <w:jc w:val="left"/>
              <w:rPr>
                <w:rFonts w:hint="eastAsia" w:ascii="仿宋_GB2312" w:hAnsi="宋体" w:eastAsia="仿宋_GB2312" w:cs="宋体"/>
                <w:color w:val="000000" w:themeColor="text1"/>
                <w:w w:val="90"/>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省</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（部）级科技进步奖、社科成果奖</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0</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5-8</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tcBorders>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科研经费（万元）</w:t>
            </w:r>
          </w:p>
        </w:tc>
        <w:tc>
          <w:tcPr>
            <w:tcW w:w="3435" w:type="dxa"/>
            <w:tcBorders>
              <w:top w:val="single" w:color="auto" w:sz="4" w:space="0"/>
              <w:left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科研经费</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年增长率</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负增长</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t>年均增长10%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学术论文（篇）</w:t>
            </w:r>
          </w:p>
        </w:tc>
        <w:tc>
          <w:tcPr>
            <w:tcW w:w="3435" w:type="dxa"/>
            <w:tcBorders>
              <w:top w:val="single" w:color="auto" w:sz="4" w:space="0"/>
              <w:left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核心期刊</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550</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right w:val="single" w:color="auto"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三大检索</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206</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★100篇以上</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重点实验室（个）</w:t>
            </w:r>
          </w:p>
        </w:tc>
        <w:tc>
          <w:tcPr>
            <w:tcW w:w="3435" w:type="dxa"/>
            <w:tcBorders>
              <w:top w:val="single" w:color="auto" w:sz="4" w:space="0"/>
              <w:left w:val="single" w:color="auto" w:sz="4" w:space="0"/>
              <w:bottom w:val="single" w:color="auto" w:sz="4" w:space="0"/>
            </w:tcBorders>
            <w:noWrap w:val="0"/>
            <w:vAlign w:val="center"/>
          </w:tcPr>
          <w:p>
            <w:pPr>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省</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（部）</w:t>
            </w:r>
            <w:r>
              <w:rPr>
                <w:rFonts w:hint="eastAsia" w:ascii="仿宋_GB2312" w:hAnsi="宋体" w:eastAsia="仿宋_GB2312" w:cs="宋体"/>
                <w:color w:val="000000" w:themeColor="text1"/>
                <w:kern w:val="0"/>
                <w:sz w:val="21"/>
                <w:szCs w:val="21"/>
                <w:u w:val="none"/>
                <w14:textFill>
                  <w14:solidFill>
                    <w14:schemeClr w14:val="tx1"/>
                  </w14:solidFill>
                </w14:textFill>
              </w:rPr>
              <w:t>级</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1-2</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right w:val="single" w:color="auto"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single" w:color="auto" w:sz="4" w:space="0"/>
              <w:bottom w:val="single" w:color="auto" w:sz="4" w:space="0"/>
            </w:tcBorders>
            <w:noWrap w:val="0"/>
            <w:vAlign w:val="center"/>
          </w:tcPr>
          <w:p>
            <w:pPr>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市</w:t>
            </w:r>
            <w:r>
              <w:rPr>
                <w:rFonts w:hint="eastAsia" w:ascii="仿宋_GB2312" w:hAnsi="宋体" w:eastAsia="仿宋_GB2312" w:cs="宋体"/>
                <w:color w:val="000000" w:themeColor="text1"/>
                <w:kern w:val="0"/>
                <w:sz w:val="21"/>
                <w:szCs w:val="21"/>
                <w:u w:val="none"/>
                <w14:textFill>
                  <w14:solidFill>
                    <w14:schemeClr w14:val="tx1"/>
                  </w14:solidFill>
                </w14:textFill>
              </w:rPr>
              <w:t>厅级</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工程技术中心（个）</w:t>
            </w:r>
          </w:p>
        </w:tc>
        <w:tc>
          <w:tcPr>
            <w:tcW w:w="3435" w:type="dxa"/>
            <w:tcBorders>
              <w:top w:val="single" w:color="auto" w:sz="4" w:space="0"/>
              <w:left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14:textFill>
                  <w14:solidFill>
                    <w14:schemeClr w14:val="tx1"/>
                  </w14:solidFill>
                </w14:textFill>
              </w:rPr>
              <w:t>省</w:t>
            </w: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（部）</w:t>
            </w:r>
            <w:r>
              <w:rPr>
                <w:rFonts w:hint="eastAsia" w:ascii="仿宋_GB2312" w:hAnsi="宋体" w:eastAsia="仿宋_GB2312" w:cs="宋体"/>
                <w:color w:val="000000" w:themeColor="text1"/>
                <w:kern w:val="0"/>
                <w:sz w:val="21"/>
                <w:szCs w:val="21"/>
                <w:u w:val="none"/>
                <w14:textFill>
                  <w14:solidFill>
                    <w14:schemeClr w14:val="tx1"/>
                  </w14:solidFill>
                </w14:textFill>
              </w:rPr>
              <w:t>级</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9</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10个左右</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right w:val="single" w:color="auto" w:sz="4" w:space="0"/>
            </w:tcBorders>
            <w:noWrap w:val="0"/>
            <w:vAlign w:val="center"/>
          </w:tcPr>
          <w:p>
            <w:pPr>
              <w:widowControl/>
              <w:ind w:firstLine="420" w:firstLineChars="200"/>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435" w:type="dxa"/>
            <w:tcBorders>
              <w:top w:val="single" w:color="auto" w:sz="4" w:space="0"/>
              <w:left w:val="single" w:color="auto" w:sz="4" w:space="0"/>
              <w:bottom w:val="single" w:color="auto" w:sz="4" w:space="0"/>
            </w:tcBorders>
            <w:noWrap w:val="0"/>
            <w:vAlign w:val="center"/>
          </w:tcPr>
          <w:p>
            <w:pPr>
              <w:rPr>
                <w:rFonts w:hint="eastAsia" w:ascii="仿宋_GB2312" w:hAnsi="宋体" w:eastAsia="仿宋_GB2312" w:cs="宋体"/>
                <w:color w:val="000000" w:themeColor="text1"/>
                <w:kern w:val="0"/>
                <w:sz w:val="21"/>
                <w:szCs w:val="21"/>
                <w:u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市</w:t>
            </w:r>
            <w:r>
              <w:rPr>
                <w:rFonts w:hint="eastAsia" w:ascii="仿宋_GB2312" w:hAnsi="宋体" w:eastAsia="仿宋_GB2312" w:cs="宋体"/>
                <w:color w:val="000000" w:themeColor="text1"/>
                <w:kern w:val="0"/>
                <w:sz w:val="21"/>
                <w:szCs w:val="21"/>
                <w:u w:val="none"/>
                <w14:textFill>
                  <w14:solidFill>
                    <w14:schemeClr w14:val="tx1"/>
                  </w14:solidFill>
                </w14:textFill>
              </w:rPr>
              <w:t>厅级</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6</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10-15</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restart"/>
            <w:tcBorders>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eastAsia="zh-CN"/>
                <w14:textFill>
                  <w14:solidFill>
                    <w14:schemeClr w14:val="tx1"/>
                  </w14:solidFill>
                </w14:textFill>
              </w:rPr>
              <w:t>产学研合作平台（个）</w:t>
            </w:r>
          </w:p>
        </w:tc>
        <w:tc>
          <w:tcPr>
            <w:tcW w:w="3435" w:type="dxa"/>
            <w:tcBorders>
              <w:top w:val="single" w:color="auto" w:sz="4" w:space="0"/>
              <w:left w:val="single" w:color="auto" w:sz="4" w:space="0"/>
              <w:bottom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河南省产业技术创新战略联盟</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w:t>
            </w:r>
          </w:p>
        </w:tc>
        <w:tc>
          <w:tcPr>
            <w:tcW w:w="1568"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6</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266" w:hRule="atLeast"/>
          <w:jc w:val="center"/>
        </w:trPr>
        <w:tc>
          <w:tcPr>
            <w:tcW w:w="469" w:type="dxa"/>
            <w:vMerge w:val="continue"/>
            <w:noWrap w:val="0"/>
            <w:vAlign w:val="center"/>
          </w:tcPr>
          <w:p>
            <w:pPr>
              <w:widowControl/>
              <w:jc w:val="center"/>
              <w:rPr>
                <w:rFonts w:hint="eastAsia" w:ascii="仿宋_GB2312" w:hAnsi="宋体" w:eastAsia="仿宋_GB2312" w:cs="宋体"/>
                <w:color w:val="000000" w:themeColor="text1"/>
                <w:kern w:val="0"/>
                <w:sz w:val="21"/>
                <w:szCs w:val="21"/>
                <w:u w:val="none"/>
                <w14:textFill>
                  <w14:solidFill>
                    <w14:schemeClr w14:val="tx1"/>
                  </w14:solidFill>
                </w14:textFill>
              </w:rPr>
            </w:pPr>
          </w:p>
        </w:tc>
        <w:tc>
          <w:tcPr>
            <w:tcW w:w="3180" w:type="dxa"/>
            <w:gridSpan w:val="2"/>
            <w:vMerge w:val="continue"/>
            <w:tcBorders>
              <w:right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p>
        </w:tc>
        <w:tc>
          <w:tcPr>
            <w:tcW w:w="3435" w:type="dxa"/>
            <w:tcBorders>
              <w:top w:val="single" w:color="auto" w:sz="4" w:space="0"/>
              <w:left w:val="single" w:color="auto" w:sz="4" w:space="0"/>
              <w:bottom w:val="single" w:color="auto" w:sz="4" w:space="0"/>
            </w:tcBorders>
            <w:noWrap w:val="0"/>
            <w:vAlign w:val="center"/>
          </w:tcPr>
          <w:p>
            <w:pPr>
              <w:widowControl/>
              <w:spacing w:line="240" w:lineRule="exact"/>
              <w:rPr>
                <w:rFonts w:hint="eastAsia" w:ascii="仿宋_GB2312" w:hAnsi="宋体" w:eastAsia="仿宋_GB2312" w:cs="宋体"/>
                <w:color w:val="000000" w:themeColor="text1"/>
                <w:kern w:val="0"/>
                <w:sz w:val="21"/>
                <w:szCs w:val="21"/>
                <w:u w:val="none"/>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与企（事）业单位共建产业学院</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FF0000"/>
                <w:kern w:val="0"/>
                <w:sz w:val="21"/>
                <w:szCs w:val="21"/>
                <w:u w:val="none"/>
                <w:lang w:val="en-US" w:eastAsia="zh-CN"/>
              </w:rPr>
              <w:t>13</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40" w:hRule="atLeast"/>
          <w:jc w:val="center"/>
        </w:trPr>
        <w:tc>
          <w:tcPr>
            <w:tcW w:w="469" w:type="dxa"/>
            <w:vMerge w:val="restart"/>
            <w:noWrap w:val="0"/>
            <w:vAlign w:val="center"/>
          </w:tcPr>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办</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学</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条</w:t>
            </w:r>
          </w:p>
          <w:p>
            <w:pPr>
              <w:widowControl/>
              <w:jc w:val="center"/>
              <w:rPr>
                <w:rFonts w:hint="eastAsia" w:ascii="仿宋_GB2312" w:hAnsi="宋体" w:eastAsia="仿宋_GB2312" w:cs="宋体"/>
                <w:b/>
                <w:bCs/>
                <w:color w:val="000000" w:themeColor="text1"/>
                <w:kern w:val="0"/>
                <w:sz w:val="21"/>
                <w:szCs w:val="21"/>
                <w:u w:val="none"/>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件</w:t>
            </w:r>
          </w:p>
        </w:tc>
        <w:tc>
          <w:tcPr>
            <w:tcW w:w="6615" w:type="dxa"/>
            <w:gridSpan w:val="3"/>
            <w:noWrap w:val="0"/>
            <w:vAlign w:val="center"/>
          </w:tcPr>
          <w:p>
            <w:pPr>
              <w:widowControl/>
              <w:spacing w:line="240" w:lineRule="exact"/>
              <w:jc w:val="cente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学校占地面积（亩）</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818</w:t>
            </w:r>
          </w:p>
        </w:tc>
        <w:tc>
          <w:tcPr>
            <w:tcW w:w="1568" w:type="dxa"/>
            <w:tcBorders>
              <w:top w:val="single" w:color="auto" w:sz="4" w:space="0"/>
              <w:bottom w:val="single" w:color="auto" w:sz="4" w:space="0"/>
            </w:tcBorders>
            <w:noWrap w:val="0"/>
            <w:vAlign w:val="center"/>
          </w:tcPr>
          <w:p>
            <w:pPr>
              <w:widowControl/>
              <w:spacing w:line="240" w:lineRule="exact"/>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70C0"/>
                <w:kern w:val="0"/>
                <w:sz w:val="21"/>
                <w:szCs w:val="21"/>
                <w:u w:val="none"/>
                <w:lang w:val="en-US" w:eastAsia="zh-CN"/>
              </w:rPr>
              <w:t>1710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40" w:hRule="atLeast"/>
          <w:jc w:val="center"/>
        </w:trPr>
        <w:tc>
          <w:tcPr>
            <w:tcW w:w="469" w:type="dxa"/>
            <w:vMerge w:val="continue"/>
            <w:noWrap w:val="0"/>
            <w:vAlign w:val="center"/>
          </w:tcPr>
          <w:p>
            <w:pPr>
              <w:widowControl/>
              <w:jc w:val="center"/>
              <w:rPr>
                <w:rFonts w:hint="eastAsia" w:ascii="仿宋_GB2312" w:hAnsi="宋体" w:eastAsia="仿宋_GB2312" w:cs="宋体"/>
                <w:b/>
                <w:bCs/>
                <w:color w:val="000000" w:themeColor="text1"/>
                <w:kern w:val="0"/>
                <w:sz w:val="21"/>
                <w:szCs w:val="21"/>
                <w:u w:val="none"/>
                <w14:textFill>
                  <w14:solidFill>
                    <w14:schemeClr w14:val="tx1"/>
                  </w14:solidFill>
                </w14:textFill>
              </w:rPr>
            </w:pPr>
          </w:p>
        </w:tc>
        <w:tc>
          <w:tcPr>
            <w:tcW w:w="6615" w:type="dxa"/>
            <w:gridSpan w:val="3"/>
            <w:noWrap w:val="0"/>
            <w:vAlign w:val="center"/>
          </w:tcPr>
          <w:p>
            <w:pPr>
              <w:widowControl/>
              <w:spacing w:line="240" w:lineRule="exact"/>
              <w:jc w:val="cente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教学行政用房（万平方米）</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22.5</w:t>
            </w:r>
          </w:p>
        </w:tc>
        <w:tc>
          <w:tcPr>
            <w:tcW w:w="1568" w:type="dxa"/>
            <w:tcBorders>
              <w:top w:val="single" w:color="auto" w:sz="4" w:space="0"/>
              <w:bottom w:val="single" w:color="auto" w:sz="4" w:space="0"/>
            </w:tcBorders>
            <w:noWrap w:val="0"/>
            <w:vAlign w:val="center"/>
          </w:tcPr>
          <w:p>
            <w:pPr>
              <w:widowControl/>
              <w:spacing w:line="240" w:lineRule="exact"/>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FF0000"/>
                <w:kern w:val="0"/>
                <w:sz w:val="21"/>
                <w:szCs w:val="21"/>
                <w:u w:val="none"/>
                <w:lang w:val="en-US" w:eastAsia="zh-CN"/>
              </w:rPr>
              <w:t>30.4</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b/>
                <w:bCs/>
                <w:color w:val="000000" w:themeColor="text1"/>
                <w:kern w:val="0"/>
                <w:sz w:val="21"/>
                <w:szCs w:val="21"/>
                <w:u w:val="none"/>
                <w14:textFill>
                  <w14:solidFill>
                    <w14:schemeClr w14:val="tx1"/>
                  </w14:solidFill>
                </w14:textFill>
              </w:rPr>
            </w:pPr>
          </w:p>
        </w:tc>
        <w:tc>
          <w:tcPr>
            <w:tcW w:w="6615" w:type="dxa"/>
            <w:gridSpan w:val="3"/>
            <w:noWrap w:val="0"/>
            <w:vAlign w:val="center"/>
          </w:tcPr>
          <w:p>
            <w:pPr>
              <w:widowControl/>
              <w:spacing w:line="240" w:lineRule="exact"/>
              <w:jc w:val="cente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教学仪器设备总值（亿元）</w:t>
            </w:r>
          </w:p>
        </w:tc>
        <w:tc>
          <w:tcPr>
            <w:tcW w:w="1070"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1.3</w:t>
            </w:r>
          </w:p>
        </w:tc>
        <w:tc>
          <w:tcPr>
            <w:tcW w:w="1568" w:type="dxa"/>
            <w:tcBorders>
              <w:top w:val="single" w:color="auto" w:sz="4" w:space="0"/>
              <w:bottom w:val="single" w:color="auto" w:sz="4" w:space="0"/>
            </w:tcBorders>
            <w:noWrap w:val="0"/>
            <w:vAlign w:val="center"/>
          </w:tcPr>
          <w:p>
            <w:pPr>
              <w:widowControl/>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97" w:hRule="atLeast"/>
          <w:jc w:val="center"/>
        </w:trPr>
        <w:tc>
          <w:tcPr>
            <w:tcW w:w="469" w:type="dxa"/>
            <w:vMerge w:val="continue"/>
            <w:noWrap w:val="0"/>
            <w:vAlign w:val="center"/>
          </w:tcPr>
          <w:p>
            <w:pPr>
              <w:widowControl/>
              <w:jc w:val="center"/>
              <w:rPr>
                <w:rFonts w:hint="eastAsia" w:ascii="仿宋_GB2312" w:hAnsi="宋体" w:eastAsia="仿宋_GB2312" w:cs="宋体"/>
                <w:b/>
                <w:bCs/>
                <w:color w:val="000000" w:themeColor="text1"/>
                <w:kern w:val="0"/>
                <w:sz w:val="21"/>
                <w:szCs w:val="21"/>
                <w:u w:val="none"/>
                <w14:textFill>
                  <w14:solidFill>
                    <w14:schemeClr w14:val="tx1"/>
                  </w14:solidFill>
                </w14:textFill>
              </w:rPr>
            </w:pPr>
          </w:p>
        </w:tc>
        <w:tc>
          <w:tcPr>
            <w:tcW w:w="2855" w:type="dxa"/>
            <w:vMerge w:val="restart"/>
            <w:noWrap w:val="0"/>
            <w:vAlign w:val="center"/>
          </w:tcPr>
          <w:p>
            <w:pPr>
              <w:widowControl/>
              <w:spacing w:line="240" w:lineRule="exact"/>
              <w:jc w:val="cente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图书资料（万册）</w:t>
            </w:r>
          </w:p>
        </w:tc>
        <w:tc>
          <w:tcPr>
            <w:tcW w:w="3760" w:type="dxa"/>
            <w:gridSpan w:val="2"/>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纸质图书</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155.4</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200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22" w:hRule="atLeast"/>
          <w:jc w:val="center"/>
        </w:trPr>
        <w:tc>
          <w:tcPr>
            <w:tcW w:w="469" w:type="dxa"/>
            <w:vMerge w:val="continue"/>
            <w:noWrap w:val="0"/>
            <w:vAlign w:val="center"/>
          </w:tcPr>
          <w:p>
            <w:pPr>
              <w:widowControl/>
              <w:jc w:val="center"/>
              <w:rPr>
                <w:rFonts w:hint="eastAsia" w:ascii="仿宋_GB2312" w:hAnsi="宋体" w:eastAsia="仿宋_GB2312" w:cs="宋体"/>
                <w:b/>
                <w:bCs/>
                <w:color w:val="000000" w:themeColor="text1"/>
                <w:kern w:val="0"/>
                <w:sz w:val="21"/>
                <w:szCs w:val="21"/>
                <w:u w:val="none"/>
                <w14:textFill>
                  <w14:solidFill>
                    <w14:schemeClr w14:val="tx1"/>
                  </w14:solidFill>
                </w14:textFill>
              </w:rPr>
            </w:pPr>
          </w:p>
        </w:tc>
        <w:tc>
          <w:tcPr>
            <w:tcW w:w="2855" w:type="dxa"/>
            <w:vMerge w:val="continue"/>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p>
        </w:tc>
        <w:tc>
          <w:tcPr>
            <w:tcW w:w="3760" w:type="dxa"/>
            <w:gridSpan w:val="2"/>
            <w:noWrap w:val="0"/>
            <w:vAlign w:val="center"/>
          </w:tcPr>
          <w:p>
            <w:pPr>
              <w:widowControl/>
              <w:spacing w:line="240" w:lineRule="exact"/>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电子图书</w:t>
            </w:r>
          </w:p>
        </w:tc>
        <w:tc>
          <w:tcPr>
            <w:tcW w:w="1070"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61.7</w:t>
            </w:r>
          </w:p>
        </w:tc>
        <w:tc>
          <w:tcPr>
            <w:tcW w:w="1568" w:type="dxa"/>
            <w:tcBorders>
              <w:top w:val="single" w:color="auto" w:sz="4" w:space="0"/>
              <w:bottom w:val="single" w:color="auto" w:sz="4" w:space="0"/>
            </w:tcBorders>
            <w:noWrap w:val="0"/>
            <w:vAlign w:val="center"/>
          </w:tcPr>
          <w:p>
            <w:pPr>
              <w:widowControl/>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50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1228" w:hRule="atLeast"/>
          <w:jc w:val="center"/>
        </w:trPr>
        <w:tc>
          <w:tcPr>
            <w:tcW w:w="469" w:type="dxa"/>
            <w:noWrap w:val="0"/>
            <w:vAlign w:val="center"/>
          </w:tcPr>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开</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放</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办</w:t>
            </w:r>
          </w:p>
          <w:p>
            <w:pPr>
              <w:widowControl/>
              <w:jc w:val="cente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pPr>
            <w:r>
              <w:rPr>
                <w:rFonts w:hint="eastAsia" w:ascii="仿宋_GB2312" w:hAnsi="宋体" w:eastAsia="仿宋_GB2312" w:cs="宋体"/>
                <w:b/>
                <w:bCs/>
                <w:color w:val="000000" w:themeColor="text1"/>
                <w:kern w:val="0"/>
                <w:sz w:val="21"/>
                <w:szCs w:val="21"/>
                <w:u w:val="none"/>
                <w:lang w:eastAsia="zh-CN"/>
                <w14:textFill>
                  <w14:solidFill>
                    <w14:schemeClr w14:val="tx1"/>
                  </w14:solidFill>
                </w14:textFill>
              </w:rPr>
              <w:t>学</w:t>
            </w:r>
          </w:p>
        </w:tc>
        <w:tc>
          <w:tcPr>
            <w:tcW w:w="6615" w:type="dxa"/>
            <w:gridSpan w:val="3"/>
            <w:noWrap w:val="0"/>
            <w:vAlign w:val="center"/>
          </w:tcPr>
          <w:p>
            <w:pPr>
              <w:widowControl/>
              <w:jc w:val="cente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国（境）外合作学校（所）</w:t>
            </w:r>
          </w:p>
        </w:tc>
        <w:tc>
          <w:tcPr>
            <w:tcW w:w="1070" w:type="dxa"/>
            <w:tcBorders>
              <w:top w:val="single" w:color="auto" w:sz="4" w:space="0"/>
            </w:tcBorders>
            <w:noWrap w:val="0"/>
            <w:vAlign w:val="center"/>
          </w:tcPr>
          <w:p>
            <w:pPr>
              <w:widowControl/>
              <w:jc w:val="left"/>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10</w:t>
            </w:r>
          </w:p>
        </w:tc>
        <w:tc>
          <w:tcPr>
            <w:tcW w:w="1568" w:type="dxa"/>
            <w:tcBorders>
              <w:top w:val="single" w:color="auto" w:sz="4" w:space="0"/>
              <w:bottom w:val="single" w:color="auto" w:sz="4" w:space="0"/>
            </w:tcBorders>
            <w:noWrap w:val="0"/>
            <w:vAlign w:val="center"/>
          </w:tcPr>
          <w:p>
            <w:pPr>
              <w:widowControl/>
              <w:jc w:val="left"/>
              <w:rPr>
                <w:rFonts w:hint="default" w:ascii="仿宋_GB2312" w:hAnsi="宋体" w:eastAsia="仿宋_GB2312" w:cs="宋体"/>
                <w:color w:val="000000" w:themeColor="text1"/>
                <w:kern w:val="0"/>
                <w:sz w:val="21"/>
                <w:szCs w:val="21"/>
                <w:u w:val="none"/>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u w:val="none"/>
                <w:lang w:val="en-US" w:eastAsia="zh-CN"/>
                <w14:textFill>
                  <w14:solidFill>
                    <w14:schemeClr w14:val="tx1"/>
                  </w14:solidFill>
                </w14:textFill>
              </w:rPr>
              <w:t>12-15</w:t>
            </w:r>
          </w:p>
        </w:tc>
      </w:tr>
    </w:tbl>
    <w:p>
      <w:pPr>
        <w:keepNext w:val="0"/>
        <w:keepLines w:val="0"/>
        <w:widowControl/>
        <w:suppressLineNumbers w:val="0"/>
        <w:jc w:val="left"/>
        <w:rPr>
          <w:rFonts w:ascii="Calibri" w:hAnsi="Calibri" w:cs="Times New Roman"/>
          <w:color w:val="000000" w:themeColor="text1"/>
          <w:u w:val="none"/>
          <w14:textFill>
            <w14:solidFill>
              <w14:schemeClr w14:val="tx1"/>
            </w14:solidFill>
          </w14:textFill>
        </w:rPr>
      </w:pPr>
      <w:r>
        <w:rPr>
          <w:rFonts w:hint="eastAsia" w:ascii="Times New Roman" w:hAnsi="Times New Roman" w:cs="Times New Roman"/>
          <w:b/>
          <w:bCs/>
          <w:color w:val="000000" w:themeColor="text1"/>
          <w:kern w:val="0"/>
          <w:sz w:val="21"/>
          <w:szCs w:val="21"/>
          <w:u w:val="none"/>
          <w:lang w:val="en-US" w:eastAsia="zh-CN" w:bidi="ar"/>
          <w14:textFill>
            <w14:solidFill>
              <w14:schemeClr w14:val="tx1"/>
            </w14:solidFill>
          </w14:textFill>
        </w:rPr>
        <w:t>备注</w:t>
      </w:r>
      <w:r>
        <w:rPr>
          <w:rFonts w:hint="eastAsia" w:ascii="Times New Roman" w:hAnsi="Times New Roman" w:cs="Times New Roman"/>
          <w:color w:val="000000" w:themeColor="text1"/>
          <w:kern w:val="0"/>
          <w:sz w:val="21"/>
          <w:szCs w:val="21"/>
          <w:u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标注为五年期间</w:t>
      </w:r>
      <w:r>
        <w:rPr>
          <w:rFonts w:hint="eastAsia" w:ascii="宋体" w:hAnsi="宋体" w:cs="宋体"/>
          <w:color w:val="000000" w:themeColor="text1"/>
          <w:kern w:val="0"/>
          <w:sz w:val="21"/>
          <w:szCs w:val="21"/>
          <w:u w:val="none"/>
          <w:lang w:val="en-US" w:eastAsia="zh-CN" w:bidi="ar"/>
          <w14:textFill>
            <w14:solidFill>
              <w14:schemeClr w14:val="tx1"/>
            </w14:solidFill>
          </w14:textFill>
        </w:rPr>
        <w:t>新增</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总数，未标注为五年</w:t>
      </w:r>
      <w:r>
        <w:rPr>
          <w:rFonts w:hint="eastAsia" w:ascii="宋体" w:hAnsi="宋体" w:eastAsia="宋体" w:cs="宋体"/>
          <w:color w:val="000000" w:themeColor="text1"/>
          <w:kern w:val="0"/>
          <w:sz w:val="21"/>
          <w:szCs w:val="21"/>
          <w:highlight w:val="none"/>
          <w:u w:val="none"/>
          <w:lang w:val="en-US" w:eastAsia="zh-CN" w:bidi="ar"/>
          <w14:textFill>
            <w14:solidFill>
              <w14:schemeClr w14:val="tx1"/>
            </w14:solidFill>
          </w14:textFill>
        </w:rPr>
        <w:t>末</w:t>
      </w:r>
      <w:r>
        <w:rPr>
          <w:rFonts w:hint="eastAsia" w:ascii="宋体" w:hAnsi="宋体" w:cs="宋体"/>
          <w:color w:val="000000" w:themeColor="text1"/>
          <w:kern w:val="0"/>
          <w:sz w:val="21"/>
          <w:szCs w:val="21"/>
          <w:u w:val="none"/>
          <w:lang w:val="en-US" w:eastAsia="zh-CN" w:bidi="ar"/>
          <w14:textFill>
            <w14:solidFill>
              <w14:schemeClr w14:val="tx1"/>
            </w14:solidFill>
          </w14:textFill>
        </w:rPr>
        <w:t>达到</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数值。</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kern w:val="0"/>
          <w:sz w:val="28"/>
          <w:szCs w:val="28"/>
          <w:u w:val="none"/>
          <w:lang w:val="en-US" w:eastAsia="zh-CN"/>
          <w14:textFill>
            <w14:solidFill>
              <w14:schemeClr w14:val="tx1"/>
            </w14:solidFill>
          </w14:textFill>
        </w:rPr>
      </w:pPr>
    </w:p>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09E6F"/>
    <w:multiLevelType w:val="singleLevel"/>
    <w:tmpl w:val="1F809E6F"/>
    <w:lvl w:ilvl="0" w:tentative="0">
      <w:start w:val="1"/>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16CB3"/>
    <w:rsid w:val="016409A5"/>
    <w:rsid w:val="023146E3"/>
    <w:rsid w:val="03A92162"/>
    <w:rsid w:val="05132739"/>
    <w:rsid w:val="057D62E3"/>
    <w:rsid w:val="05E85DC8"/>
    <w:rsid w:val="07972DE8"/>
    <w:rsid w:val="0A075BCE"/>
    <w:rsid w:val="0A28781C"/>
    <w:rsid w:val="0C86108D"/>
    <w:rsid w:val="0D037A88"/>
    <w:rsid w:val="0FD23AB3"/>
    <w:rsid w:val="0FE40878"/>
    <w:rsid w:val="12766789"/>
    <w:rsid w:val="12E51C57"/>
    <w:rsid w:val="145908F7"/>
    <w:rsid w:val="16393188"/>
    <w:rsid w:val="16A61046"/>
    <w:rsid w:val="16FE5B07"/>
    <w:rsid w:val="188A4572"/>
    <w:rsid w:val="19A04230"/>
    <w:rsid w:val="1A325E1C"/>
    <w:rsid w:val="1A6E1BEA"/>
    <w:rsid w:val="1C430A48"/>
    <w:rsid w:val="1DC55E93"/>
    <w:rsid w:val="20F15F25"/>
    <w:rsid w:val="21F72F49"/>
    <w:rsid w:val="22652349"/>
    <w:rsid w:val="22C322B6"/>
    <w:rsid w:val="275D43DE"/>
    <w:rsid w:val="283F188B"/>
    <w:rsid w:val="2951282A"/>
    <w:rsid w:val="29D55E3B"/>
    <w:rsid w:val="2AA51F53"/>
    <w:rsid w:val="2AEB1EA4"/>
    <w:rsid w:val="2BC5635D"/>
    <w:rsid w:val="2E7536E0"/>
    <w:rsid w:val="2E9A651F"/>
    <w:rsid w:val="2F6A3F2E"/>
    <w:rsid w:val="30196C99"/>
    <w:rsid w:val="301D05CC"/>
    <w:rsid w:val="3069745B"/>
    <w:rsid w:val="32A23602"/>
    <w:rsid w:val="347D03E0"/>
    <w:rsid w:val="34B71E9E"/>
    <w:rsid w:val="35961FDA"/>
    <w:rsid w:val="3AE957B7"/>
    <w:rsid w:val="3B434DB3"/>
    <w:rsid w:val="3B6C03E8"/>
    <w:rsid w:val="3B824AE4"/>
    <w:rsid w:val="3B957EEA"/>
    <w:rsid w:val="3C8100BE"/>
    <w:rsid w:val="3F8A1718"/>
    <w:rsid w:val="400C7E14"/>
    <w:rsid w:val="44586623"/>
    <w:rsid w:val="449E57EC"/>
    <w:rsid w:val="45A25866"/>
    <w:rsid w:val="45A71855"/>
    <w:rsid w:val="48764627"/>
    <w:rsid w:val="49664B13"/>
    <w:rsid w:val="498B1A41"/>
    <w:rsid w:val="4AD93298"/>
    <w:rsid w:val="4AFF1C82"/>
    <w:rsid w:val="4E1718C7"/>
    <w:rsid w:val="4F186D52"/>
    <w:rsid w:val="4F6B68E9"/>
    <w:rsid w:val="51AF4EF4"/>
    <w:rsid w:val="51BF204A"/>
    <w:rsid w:val="52556481"/>
    <w:rsid w:val="533050C7"/>
    <w:rsid w:val="53552B81"/>
    <w:rsid w:val="53D73F3E"/>
    <w:rsid w:val="54795197"/>
    <w:rsid w:val="54FD6156"/>
    <w:rsid w:val="56831439"/>
    <w:rsid w:val="56907080"/>
    <w:rsid w:val="5ABD0484"/>
    <w:rsid w:val="5AEC0925"/>
    <w:rsid w:val="5D462B6E"/>
    <w:rsid w:val="5DE518BF"/>
    <w:rsid w:val="5E1F7E6E"/>
    <w:rsid w:val="60170ADA"/>
    <w:rsid w:val="619B63F2"/>
    <w:rsid w:val="62D80676"/>
    <w:rsid w:val="639E686B"/>
    <w:rsid w:val="646E53E5"/>
    <w:rsid w:val="666A6D51"/>
    <w:rsid w:val="698E48BE"/>
    <w:rsid w:val="6A716F93"/>
    <w:rsid w:val="6D79342A"/>
    <w:rsid w:val="701219FA"/>
    <w:rsid w:val="70476D2D"/>
    <w:rsid w:val="73366AD0"/>
    <w:rsid w:val="737768A8"/>
    <w:rsid w:val="76185ABA"/>
    <w:rsid w:val="7644090E"/>
    <w:rsid w:val="77465DA8"/>
    <w:rsid w:val="79DF3528"/>
    <w:rsid w:val="7BDD775E"/>
    <w:rsid w:val="7D700ABD"/>
    <w:rsid w:val="7EA072BE"/>
    <w:rsid w:val="7EBF49C0"/>
    <w:rsid w:val="7EE413A5"/>
    <w:rsid w:val="7FD8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1"/>
    <w:pPr>
      <w:widowControl w:val="0"/>
      <w:spacing w:before="245"/>
      <w:ind w:left="1238" w:hanging="483"/>
      <w:jc w:val="both"/>
      <w:outlineLvl w:val="1"/>
    </w:pPr>
    <w:rPr>
      <w:rFonts w:ascii="仿宋" w:hAnsi="仿宋" w:eastAsia="仿宋" w:cs="仿宋"/>
      <w:b/>
      <w:bCs/>
      <w:kern w:val="2"/>
      <w:sz w:val="32"/>
      <w:szCs w:val="32"/>
      <w:lang w:val="zh-CN" w:eastAsia="zh-CN" w:bidi="zh-CN"/>
    </w:rPr>
  </w:style>
  <w:style w:type="paragraph" w:styleId="3">
    <w:name w:val="heading 2"/>
    <w:next w:val="1"/>
    <w:semiHidden/>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paragraph" w:styleId="4">
    <w:name w:val="heading 3"/>
    <w:next w:val="1"/>
    <w:semiHidden/>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paragraph" w:styleId="5">
    <w:name w:val="heading 4"/>
    <w:next w:val="1"/>
    <w:semiHidden/>
    <w:unhideWhenUsed/>
    <w:qFormat/>
    <w:uiPriority w:val="0"/>
    <w:pPr>
      <w:widowControl w:val="0"/>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qFormat/>
    <w:uiPriority w:val="1"/>
    <w:pPr>
      <w:widowControl w:val="0"/>
      <w:ind w:left="117"/>
      <w:jc w:val="both"/>
    </w:pPr>
    <w:rPr>
      <w:rFonts w:ascii="仿宋" w:hAnsi="仿宋" w:eastAsia="仿宋" w:cs="仿宋"/>
      <w:kern w:val="2"/>
      <w:sz w:val="32"/>
      <w:szCs w:val="32"/>
      <w:lang w:val="zh-CN" w:eastAsia="zh-CN" w:bidi="zh-CN"/>
    </w:rPr>
  </w:style>
  <w:style w:type="paragraph" w:styleId="8">
    <w:name w:val="toc 3"/>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9">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12">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6">
    <w:name w:val="List Paragraph"/>
    <w:qFormat/>
    <w:uiPriority w:val="1"/>
    <w:pPr>
      <w:widowControl w:val="0"/>
      <w:spacing w:before="245"/>
      <w:ind w:left="1238" w:hanging="483"/>
      <w:jc w:val="both"/>
    </w:pPr>
    <w:rPr>
      <w:rFonts w:ascii="仿宋" w:hAnsi="仿宋" w:eastAsia="仿宋" w:cs="仿宋"/>
      <w:kern w:val="2"/>
      <w:sz w:val="21"/>
      <w:szCs w:val="24"/>
      <w:lang w:val="zh-CN" w:eastAsia="zh-CN" w:bidi="zh-CN"/>
    </w:rPr>
  </w:style>
  <w:style w:type="paragraph" w:customStyle="1" w:styleId="17">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2020-12-30T03:05:00Z</dcterms:created>
  <dc:creator>Trx</dc:creator>
  <cp:lastModifiedBy>Trx</cp:lastModifiedBy>
  <cp:lastPrinted>2021-04-12T07:20:00Z</cp:lastPrinted>
  <dcterms:modified xsi:type="dcterms:W3CDTF">2021-04-27T01:12:20Z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4CD8B292A167416AB1F39A6CAD051A6A</vt:lpwstr>
  </property>
</Properties>
</file>